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D2" w:rsidRDefault="007926D2">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3"/>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68"/>
        <w:gridCol w:w="1780"/>
        <w:gridCol w:w="1743"/>
        <w:gridCol w:w="1694"/>
        <w:gridCol w:w="1836"/>
        <w:gridCol w:w="2264"/>
      </w:tblGrid>
      <w:tr w:rsidR="007926D2">
        <w:trPr>
          <w:trHeight w:val="187"/>
        </w:trPr>
        <w:tc>
          <w:tcPr>
            <w:tcW w:w="2972" w:type="dxa"/>
            <w:shd w:val="clear" w:color="auto" w:fill="FFF2CC"/>
          </w:tcPr>
          <w:p w:rsidR="007926D2" w:rsidRDefault="00E3271E">
            <w:pPr>
              <w:spacing w:after="0" w:line="240" w:lineRule="auto"/>
              <w:rPr>
                <w:rFonts w:cs="Calibri"/>
                <w:b/>
                <w:color w:val="000000"/>
                <w:sz w:val="24"/>
                <w:szCs w:val="24"/>
              </w:rPr>
            </w:pPr>
            <w:r>
              <w:rPr>
                <w:b/>
                <w:sz w:val="24"/>
                <w:szCs w:val="24"/>
              </w:rPr>
              <w:t>Year 12 Term 3  BTEC Business</w:t>
            </w:r>
          </w:p>
        </w:tc>
        <w:tc>
          <w:tcPr>
            <w:tcW w:w="11685" w:type="dxa"/>
            <w:gridSpan w:val="6"/>
            <w:shd w:val="clear" w:color="auto" w:fill="FFF2CC"/>
          </w:tcPr>
          <w:p w:rsidR="007926D2" w:rsidRDefault="00E3271E">
            <w:pPr>
              <w:pBdr>
                <w:top w:val="nil"/>
                <w:left w:val="nil"/>
                <w:bottom w:val="nil"/>
                <w:right w:val="nil"/>
                <w:between w:val="nil"/>
              </w:pBdr>
              <w:spacing w:after="0" w:line="240" w:lineRule="auto"/>
              <w:rPr>
                <w:rFonts w:ascii="Arial" w:eastAsia="Arial" w:hAnsi="Arial" w:cs="Arial"/>
                <w:color w:val="404040"/>
                <w:highlight w:val="white"/>
              </w:rPr>
            </w:pPr>
            <w:r>
              <w:rPr>
                <w:rFonts w:ascii="Arial" w:eastAsia="Arial" w:hAnsi="Arial" w:cs="Arial"/>
                <w:color w:val="404040"/>
                <w:shd w:val="clear" w:color="auto" w:fill="FFF2CC"/>
              </w:rPr>
              <w:t>Our mission is to stimulate and challenge our students to excel and provide a desire for lifelong learning and pursue</w:t>
            </w:r>
            <w:r>
              <w:rPr>
                <w:rFonts w:ascii="Arial" w:eastAsia="Arial" w:hAnsi="Arial" w:cs="Arial"/>
                <w:color w:val="404040"/>
                <w:shd w:val="clear" w:color="auto" w:fill="FFF2CC"/>
              </w:rPr>
              <w:t xml:space="preserve"> </w:t>
            </w:r>
            <w:r>
              <w:rPr>
                <w:rFonts w:ascii="Arial" w:eastAsia="Arial" w:hAnsi="Arial" w:cs="Arial"/>
                <w:color w:val="404040"/>
                <w:shd w:val="clear" w:color="auto" w:fill="FFF2CC"/>
              </w:rPr>
              <w:t>careers in the world of Business, Computing, and ICT.</w:t>
            </w:r>
          </w:p>
        </w:tc>
      </w:tr>
      <w:tr w:rsidR="007926D2">
        <w:trPr>
          <w:trHeight w:val="364"/>
        </w:trPr>
        <w:tc>
          <w:tcPr>
            <w:tcW w:w="14657" w:type="dxa"/>
            <w:gridSpan w:val="7"/>
            <w:shd w:val="clear" w:color="auto" w:fill="FFF2CC"/>
          </w:tcPr>
          <w:p w:rsidR="007926D2" w:rsidRDefault="00E3271E">
            <w:pPr>
              <w:spacing w:after="0" w:line="240" w:lineRule="auto"/>
              <w:rPr>
                <w:sz w:val="24"/>
                <w:szCs w:val="24"/>
              </w:rPr>
            </w:pPr>
            <w:r>
              <w:rPr>
                <w:b/>
                <w:sz w:val="24"/>
                <w:szCs w:val="24"/>
              </w:rPr>
              <w:t>Enquiry Questions: Should individuals ever use balance-transfer credit cards?</w:t>
            </w:r>
          </w:p>
        </w:tc>
      </w:tr>
      <w:tr w:rsidR="007926D2">
        <w:trPr>
          <w:trHeight w:val="670"/>
        </w:trPr>
        <w:tc>
          <w:tcPr>
            <w:tcW w:w="14657" w:type="dxa"/>
            <w:gridSpan w:val="7"/>
            <w:shd w:val="clear" w:color="auto" w:fill="FFF2CC"/>
          </w:tcPr>
          <w:p w:rsidR="007926D2" w:rsidRDefault="00E3271E">
            <w:pPr>
              <w:spacing w:after="0" w:line="240" w:lineRule="auto"/>
              <w:rPr>
                <w:b/>
                <w:sz w:val="28"/>
                <w:szCs w:val="28"/>
              </w:rPr>
            </w:pPr>
            <w:r>
              <w:rPr>
                <w:b/>
                <w:sz w:val="28"/>
                <w:szCs w:val="28"/>
              </w:rPr>
              <w:t>Unit 3: Personal and Business Finance</w:t>
            </w:r>
          </w:p>
          <w:p w:rsidR="007926D2" w:rsidRDefault="00E3271E">
            <w:pPr>
              <w:spacing w:after="0" w:line="240" w:lineRule="auto"/>
              <w:rPr>
                <w:rFonts w:ascii="Verdana" w:eastAsia="Verdana" w:hAnsi="Verdana" w:cs="Verdana"/>
                <w:sz w:val="18"/>
                <w:szCs w:val="18"/>
              </w:rPr>
            </w:pPr>
            <w:r>
              <w:rPr>
                <w:sz w:val="24"/>
                <w:szCs w:val="24"/>
              </w:rPr>
              <w:t>Learners will explore the world of personal finance in preparation for university life or the world of work. Learners will analyse different types of financial institutions and what they can offer, ways to pay and the importance of understanding the variou</w:t>
            </w:r>
            <w:r>
              <w:rPr>
                <w:sz w:val="24"/>
                <w:szCs w:val="24"/>
              </w:rPr>
              <w:t>s support available to manage debt</w:t>
            </w:r>
          </w:p>
        </w:tc>
      </w:tr>
      <w:tr w:rsidR="007926D2">
        <w:trPr>
          <w:trHeight w:val="326"/>
        </w:trPr>
        <w:tc>
          <w:tcPr>
            <w:tcW w:w="2972" w:type="dxa"/>
            <w:shd w:val="clear" w:color="auto" w:fill="auto"/>
          </w:tcPr>
          <w:p w:rsidR="007926D2" w:rsidRDefault="00E3271E">
            <w:pPr>
              <w:pBdr>
                <w:top w:val="nil"/>
                <w:left w:val="nil"/>
                <w:bottom w:val="nil"/>
                <w:right w:val="nil"/>
                <w:between w:val="nil"/>
              </w:pBdr>
              <w:spacing w:after="0" w:line="240" w:lineRule="auto"/>
              <w:rPr>
                <w:rFonts w:cs="Calibri"/>
                <w:b/>
                <w:color w:val="000000"/>
              </w:rPr>
            </w:pPr>
            <w:r>
              <w:rPr>
                <w:rFonts w:cs="Calibri"/>
                <w:b/>
                <w:color w:val="000000"/>
              </w:rPr>
              <w:t>Knowledge</w:t>
            </w:r>
          </w:p>
          <w:p w:rsidR="007926D2" w:rsidRDefault="00E3271E">
            <w:pPr>
              <w:pBdr>
                <w:top w:val="nil"/>
                <w:left w:val="nil"/>
                <w:bottom w:val="nil"/>
                <w:right w:val="nil"/>
                <w:between w:val="nil"/>
              </w:pBdr>
              <w:spacing w:after="0" w:line="240" w:lineRule="auto"/>
              <w:rPr>
                <w:rFonts w:cs="Calibri"/>
                <w:b/>
                <w:color w:val="000000"/>
              </w:rPr>
            </w:pPr>
            <w:r>
              <w:rPr>
                <w:rFonts w:cs="Calibri"/>
                <w:color w:val="000000"/>
              </w:rPr>
              <w:t>Students will know about…</w:t>
            </w:r>
          </w:p>
        </w:tc>
        <w:tc>
          <w:tcPr>
            <w:tcW w:w="2368" w:type="dxa"/>
            <w:shd w:val="clear" w:color="auto" w:fill="auto"/>
          </w:tcPr>
          <w:p w:rsidR="007926D2" w:rsidRDefault="00E3271E">
            <w:pPr>
              <w:pBdr>
                <w:top w:val="nil"/>
                <w:left w:val="nil"/>
                <w:bottom w:val="nil"/>
                <w:right w:val="nil"/>
                <w:between w:val="nil"/>
              </w:pBdr>
              <w:spacing w:after="0" w:line="240" w:lineRule="auto"/>
              <w:rPr>
                <w:rFonts w:cs="Calibri"/>
                <w:b/>
                <w:color w:val="000000"/>
              </w:rPr>
            </w:pPr>
            <w:r>
              <w:rPr>
                <w:rFonts w:cs="Calibri"/>
                <w:b/>
                <w:color w:val="000000"/>
              </w:rPr>
              <w:t>Application/Skills</w:t>
            </w:r>
          </w:p>
          <w:p w:rsidR="007926D2" w:rsidRDefault="00E3271E">
            <w:pPr>
              <w:pBdr>
                <w:top w:val="nil"/>
                <w:left w:val="nil"/>
                <w:bottom w:val="nil"/>
                <w:right w:val="nil"/>
                <w:between w:val="nil"/>
              </w:pBdr>
              <w:spacing w:after="0" w:line="240" w:lineRule="auto"/>
              <w:rPr>
                <w:rFonts w:cs="Calibri"/>
                <w:color w:val="000000"/>
              </w:rPr>
            </w:pPr>
            <w:r>
              <w:rPr>
                <w:rFonts w:cs="Calibri"/>
                <w:color w:val="000000"/>
              </w:rPr>
              <w:t>Students will be able to…</w:t>
            </w:r>
          </w:p>
        </w:tc>
        <w:tc>
          <w:tcPr>
            <w:tcW w:w="1780" w:type="dxa"/>
            <w:shd w:val="clear" w:color="auto" w:fill="auto"/>
          </w:tcPr>
          <w:p w:rsidR="007926D2" w:rsidRDefault="00E3271E">
            <w:pPr>
              <w:pBdr>
                <w:top w:val="nil"/>
                <w:left w:val="nil"/>
                <w:bottom w:val="nil"/>
                <w:right w:val="nil"/>
                <w:between w:val="nil"/>
              </w:pBdr>
              <w:spacing w:after="0" w:line="240" w:lineRule="auto"/>
              <w:rPr>
                <w:rFonts w:cs="Calibri"/>
                <w:b/>
                <w:color w:val="000000"/>
              </w:rPr>
            </w:pPr>
            <w:r>
              <w:rPr>
                <w:rFonts w:cs="Calibri"/>
                <w:b/>
                <w:color w:val="000000"/>
              </w:rPr>
              <w:t>Vocabulary</w:t>
            </w:r>
          </w:p>
        </w:tc>
        <w:tc>
          <w:tcPr>
            <w:tcW w:w="1743" w:type="dxa"/>
            <w:shd w:val="clear" w:color="auto" w:fill="auto"/>
          </w:tcPr>
          <w:p w:rsidR="007926D2" w:rsidRDefault="00E3271E">
            <w:pPr>
              <w:pBdr>
                <w:top w:val="nil"/>
                <w:left w:val="nil"/>
                <w:bottom w:val="nil"/>
                <w:right w:val="nil"/>
                <w:between w:val="nil"/>
              </w:pBdr>
              <w:spacing w:after="0" w:line="240" w:lineRule="auto"/>
              <w:rPr>
                <w:rFonts w:cs="Calibri"/>
                <w:b/>
                <w:color w:val="000000"/>
              </w:rPr>
            </w:pPr>
            <w:r>
              <w:rPr>
                <w:rFonts w:cs="Calibri"/>
                <w:b/>
                <w:color w:val="000000"/>
              </w:rPr>
              <w:t>Home Learning</w:t>
            </w:r>
          </w:p>
        </w:tc>
        <w:tc>
          <w:tcPr>
            <w:tcW w:w="1694" w:type="dxa"/>
            <w:shd w:val="clear" w:color="auto" w:fill="auto"/>
          </w:tcPr>
          <w:p w:rsidR="007926D2" w:rsidRDefault="00E3271E">
            <w:pPr>
              <w:pBdr>
                <w:top w:val="nil"/>
                <w:left w:val="nil"/>
                <w:bottom w:val="nil"/>
                <w:right w:val="nil"/>
                <w:between w:val="nil"/>
              </w:pBdr>
              <w:spacing w:after="0" w:line="240" w:lineRule="auto"/>
              <w:rPr>
                <w:rFonts w:cs="Calibri"/>
                <w:b/>
                <w:color w:val="000000"/>
              </w:rPr>
            </w:pPr>
            <w:r>
              <w:rPr>
                <w:rFonts w:cs="Calibri"/>
                <w:b/>
                <w:color w:val="000000"/>
              </w:rPr>
              <w:t>Assessment</w:t>
            </w:r>
          </w:p>
        </w:tc>
        <w:tc>
          <w:tcPr>
            <w:tcW w:w="1836" w:type="dxa"/>
            <w:shd w:val="clear" w:color="auto" w:fill="auto"/>
          </w:tcPr>
          <w:p w:rsidR="007926D2" w:rsidRDefault="00E3271E">
            <w:pPr>
              <w:pBdr>
                <w:top w:val="nil"/>
                <w:left w:val="nil"/>
                <w:bottom w:val="nil"/>
                <w:right w:val="nil"/>
                <w:between w:val="nil"/>
              </w:pBdr>
              <w:spacing w:after="0" w:line="240" w:lineRule="auto"/>
              <w:rPr>
                <w:rFonts w:cs="Calibri"/>
                <w:b/>
                <w:color w:val="000000"/>
              </w:rPr>
            </w:pPr>
            <w:r>
              <w:rPr>
                <w:rFonts w:cs="Calibri"/>
                <w:b/>
                <w:color w:val="000000"/>
              </w:rPr>
              <w:t>Extra Resources</w:t>
            </w:r>
          </w:p>
          <w:p w:rsidR="007926D2" w:rsidRDefault="00E3271E">
            <w:pPr>
              <w:pBdr>
                <w:top w:val="nil"/>
                <w:left w:val="nil"/>
                <w:bottom w:val="nil"/>
                <w:right w:val="nil"/>
                <w:between w:val="nil"/>
              </w:pBdr>
              <w:spacing w:after="0" w:line="240" w:lineRule="auto"/>
              <w:rPr>
                <w:rFonts w:cs="Calibri"/>
                <w:b/>
                <w:color w:val="000000"/>
              </w:rPr>
            </w:pPr>
            <w:r>
              <w:rPr>
                <w:rFonts w:cs="Calibri"/>
                <w:b/>
                <w:color w:val="000000"/>
              </w:rPr>
              <w:t>Extended Reading</w:t>
            </w:r>
          </w:p>
        </w:tc>
        <w:tc>
          <w:tcPr>
            <w:tcW w:w="2264" w:type="dxa"/>
            <w:shd w:val="clear" w:color="auto" w:fill="auto"/>
          </w:tcPr>
          <w:p w:rsidR="007926D2" w:rsidRDefault="00E3271E">
            <w:pPr>
              <w:pBdr>
                <w:top w:val="nil"/>
                <w:left w:val="nil"/>
                <w:bottom w:val="nil"/>
                <w:right w:val="nil"/>
                <w:between w:val="nil"/>
              </w:pBdr>
              <w:spacing w:after="0" w:line="240" w:lineRule="auto"/>
              <w:rPr>
                <w:rFonts w:cs="Calibri"/>
                <w:b/>
                <w:color w:val="000000"/>
              </w:rPr>
            </w:pPr>
            <w:r>
              <w:rPr>
                <w:rFonts w:cs="Calibri"/>
                <w:b/>
                <w:color w:val="000000"/>
              </w:rPr>
              <w:t>Cultural Capital</w:t>
            </w:r>
          </w:p>
          <w:p w:rsidR="007926D2" w:rsidRDefault="007926D2">
            <w:pPr>
              <w:pBdr>
                <w:top w:val="nil"/>
                <w:left w:val="nil"/>
                <w:bottom w:val="nil"/>
                <w:right w:val="nil"/>
                <w:between w:val="nil"/>
              </w:pBdr>
              <w:spacing w:after="0" w:line="240" w:lineRule="auto"/>
              <w:rPr>
                <w:rFonts w:cs="Calibri"/>
                <w:b/>
                <w:color w:val="000000"/>
              </w:rPr>
            </w:pPr>
          </w:p>
        </w:tc>
      </w:tr>
      <w:tr w:rsidR="007926D2">
        <w:trPr>
          <w:trHeight w:val="2089"/>
        </w:trPr>
        <w:tc>
          <w:tcPr>
            <w:tcW w:w="2972" w:type="dxa"/>
          </w:tcPr>
          <w:p w:rsidR="007926D2" w:rsidRDefault="00E3271E">
            <w:pPr>
              <w:numPr>
                <w:ilvl w:val="0"/>
                <w:numId w:val="1"/>
              </w:numPr>
              <w:spacing w:after="0" w:line="240" w:lineRule="auto"/>
            </w:pPr>
            <w:r>
              <w:t>A1 The function and role of money</w:t>
            </w:r>
          </w:p>
          <w:p w:rsidR="007926D2" w:rsidRDefault="00E3271E">
            <w:pPr>
              <w:numPr>
                <w:ilvl w:val="0"/>
                <w:numId w:val="1"/>
              </w:numPr>
              <w:spacing w:after="0" w:line="240" w:lineRule="auto"/>
            </w:pPr>
            <w:r>
              <w:t>A2 Different ways to pay</w:t>
            </w:r>
          </w:p>
          <w:p w:rsidR="007926D2" w:rsidRDefault="00E3271E">
            <w:pPr>
              <w:numPr>
                <w:ilvl w:val="0"/>
                <w:numId w:val="1"/>
              </w:numPr>
              <w:spacing w:after="0" w:line="240" w:lineRule="auto"/>
            </w:pPr>
            <w:r>
              <w:t>A3 Current accounts</w:t>
            </w:r>
          </w:p>
          <w:p w:rsidR="007926D2" w:rsidRDefault="00E3271E">
            <w:pPr>
              <w:numPr>
                <w:ilvl w:val="0"/>
                <w:numId w:val="1"/>
              </w:numPr>
              <w:spacing w:after="0" w:line="240" w:lineRule="auto"/>
            </w:pPr>
            <w:r>
              <w:t>A4 Managing personal finance</w:t>
            </w:r>
          </w:p>
          <w:p w:rsidR="007926D2" w:rsidRDefault="00E3271E">
            <w:pPr>
              <w:numPr>
                <w:ilvl w:val="0"/>
                <w:numId w:val="1"/>
              </w:numPr>
              <w:spacing w:after="0" w:line="240" w:lineRule="auto"/>
            </w:pPr>
            <w:r>
              <w:t>B1 Features of financial institutions</w:t>
            </w:r>
          </w:p>
          <w:p w:rsidR="007926D2" w:rsidRDefault="00E3271E">
            <w:pPr>
              <w:numPr>
                <w:ilvl w:val="0"/>
                <w:numId w:val="1"/>
              </w:numPr>
              <w:spacing w:after="0" w:line="240" w:lineRule="auto"/>
            </w:pPr>
            <w:r>
              <w:t>B2 Communicating with customers</w:t>
            </w:r>
          </w:p>
          <w:p w:rsidR="007926D2" w:rsidRDefault="00E3271E">
            <w:pPr>
              <w:numPr>
                <w:ilvl w:val="0"/>
                <w:numId w:val="1"/>
              </w:numPr>
              <w:spacing w:after="0" w:line="240" w:lineRule="auto"/>
            </w:pPr>
            <w:r>
              <w:t>B3 Consumer protection in relation to personal finance</w:t>
            </w:r>
          </w:p>
          <w:p w:rsidR="007926D2" w:rsidRDefault="00E3271E">
            <w:pPr>
              <w:numPr>
                <w:ilvl w:val="0"/>
                <w:numId w:val="1"/>
              </w:numPr>
              <w:spacing w:after="0" w:line="240" w:lineRule="auto"/>
            </w:pPr>
            <w:r>
              <w:t>B4 Information guidance and advice</w:t>
            </w:r>
          </w:p>
          <w:p w:rsidR="007926D2" w:rsidRDefault="007926D2">
            <w:pPr>
              <w:spacing w:after="0" w:line="240" w:lineRule="auto"/>
              <w:ind w:left="405"/>
              <w:rPr>
                <w:b/>
              </w:rPr>
            </w:pPr>
          </w:p>
        </w:tc>
        <w:tc>
          <w:tcPr>
            <w:tcW w:w="2368" w:type="dxa"/>
          </w:tcPr>
          <w:p w:rsidR="007926D2" w:rsidRDefault="00E3271E">
            <w:pPr>
              <w:shd w:val="clear" w:color="auto" w:fill="FFFFFF"/>
              <w:spacing w:before="240" w:after="240" w:line="240" w:lineRule="auto"/>
            </w:pPr>
            <w:r>
              <w:t>Learners can fully justify recommendations for personal finances based on thorough analysis of financial information.</w:t>
            </w:r>
          </w:p>
          <w:p w:rsidR="007926D2" w:rsidRDefault="007926D2">
            <w:pPr>
              <w:shd w:val="clear" w:color="auto" w:fill="FFFFFF"/>
              <w:spacing w:before="240" w:after="240" w:line="240" w:lineRule="auto"/>
            </w:pPr>
          </w:p>
          <w:p w:rsidR="007926D2" w:rsidRDefault="007926D2">
            <w:pPr>
              <w:shd w:val="clear" w:color="auto" w:fill="FFFFFF"/>
              <w:spacing w:before="240" w:after="240" w:line="240" w:lineRule="auto"/>
            </w:pPr>
          </w:p>
          <w:p w:rsidR="007926D2" w:rsidRDefault="007926D2">
            <w:pPr>
              <w:shd w:val="clear" w:color="auto" w:fill="FFFFFF"/>
              <w:spacing w:before="240" w:after="240" w:line="240" w:lineRule="auto"/>
            </w:pPr>
          </w:p>
          <w:p w:rsidR="007926D2" w:rsidRDefault="007926D2">
            <w:pPr>
              <w:shd w:val="clear" w:color="auto" w:fill="FFFFFF"/>
              <w:spacing w:before="240" w:after="240" w:line="240" w:lineRule="auto"/>
            </w:pPr>
          </w:p>
          <w:p w:rsidR="007926D2" w:rsidRDefault="007926D2">
            <w:pPr>
              <w:shd w:val="clear" w:color="auto" w:fill="FFFFFF"/>
              <w:spacing w:before="240" w:after="24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tc>
        <w:tc>
          <w:tcPr>
            <w:tcW w:w="1780" w:type="dxa"/>
          </w:tcPr>
          <w:p w:rsidR="007926D2" w:rsidRDefault="00E3271E">
            <w:pPr>
              <w:spacing w:after="0" w:line="240" w:lineRule="auto"/>
            </w:pPr>
            <w:r>
              <w:t>Ombudsman</w:t>
            </w:r>
          </w:p>
          <w:p w:rsidR="007926D2" w:rsidRDefault="00E3271E">
            <w:pPr>
              <w:spacing w:after="0" w:line="240" w:lineRule="auto"/>
            </w:pPr>
            <w:r>
              <w:t>Premium bonds</w:t>
            </w:r>
          </w:p>
          <w:p w:rsidR="007926D2" w:rsidRDefault="00E3271E">
            <w:pPr>
              <w:spacing w:after="0" w:line="240" w:lineRule="auto"/>
            </w:pPr>
            <w:r>
              <w:t>Gilts</w:t>
            </w:r>
          </w:p>
          <w:p w:rsidR="007926D2" w:rsidRDefault="00E3271E">
            <w:pPr>
              <w:spacing w:after="0" w:line="240" w:lineRule="auto"/>
            </w:pPr>
            <w:r>
              <w:t>Overdraft</w:t>
            </w:r>
          </w:p>
          <w:p w:rsidR="007926D2" w:rsidRDefault="00E3271E">
            <w:pPr>
              <w:spacing w:after="0" w:line="240" w:lineRule="auto"/>
            </w:pPr>
            <w:r>
              <w:t>Financial institutions</w:t>
            </w:r>
          </w:p>
          <w:p w:rsidR="007926D2" w:rsidRDefault="00E3271E">
            <w:pPr>
              <w:spacing w:after="0" w:line="240" w:lineRule="auto"/>
            </w:pPr>
            <w:r>
              <w:t>BACS</w:t>
            </w:r>
          </w:p>
          <w:p w:rsidR="007926D2" w:rsidRDefault="00E3271E">
            <w:pPr>
              <w:spacing w:after="0" w:line="240" w:lineRule="auto"/>
            </w:pPr>
            <w:r>
              <w:t>CHAPS</w:t>
            </w:r>
          </w:p>
          <w:p w:rsidR="007926D2" w:rsidRDefault="00E3271E">
            <w:pPr>
              <w:spacing w:after="0" w:line="240" w:lineRule="auto"/>
            </w:pPr>
            <w:r>
              <w:t>FPS</w:t>
            </w:r>
          </w:p>
          <w:p w:rsidR="007926D2" w:rsidRDefault="00E3271E">
            <w:pPr>
              <w:spacing w:after="0" w:line="240" w:lineRule="auto"/>
            </w:pPr>
            <w:r>
              <w:t>Repossession</w:t>
            </w:r>
          </w:p>
          <w:p w:rsidR="007926D2" w:rsidRDefault="00E3271E">
            <w:pPr>
              <w:spacing w:after="0" w:line="240" w:lineRule="auto"/>
            </w:pPr>
            <w:r>
              <w:t>Debt</w:t>
            </w:r>
          </w:p>
          <w:p w:rsidR="007926D2" w:rsidRDefault="00E3271E">
            <w:pPr>
              <w:spacing w:after="0" w:line="240" w:lineRule="auto"/>
            </w:pPr>
            <w:r>
              <w:t>Credit rating</w:t>
            </w:r>
          </w:p>
          <w:p w:rsidR="007926D2" w:rsidRDefault="00E3271E">
            <w:pPr>
              <w:spacing w:after="0" w:line="240" w:lineRule="auto"/>
            </w:pPr>
            <w:r>
              <w:t>Legal tender</w:t>
            </w: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p w:rsidR="007926D2" w:rsidRDefault="007926D2">
            <w:pPr>
              <w:spacing w:after="0" w:line="240" w:lineRule="auto"/>
            </w:pPr>
          </w:p>
        </w:tc>
        <w:tc>
          <w:tcPr>
            <w:tcW w:w="1743" w:type="dxa"/>
          </w:tcPr>
          <w:p w:rsidR="007926D2" w:rsidRDefault="00E3271E">
            <w:pPr>
              <w:spacing w:after="0" w:line="240" w:lineRule="auto"/>
            </w:pPr>
            <w:r>
              <w:lastRenderedPageBreak/>
              <w:t xml:space="preserve">Knowledge-based tests. </w:t>
            </w:r>
          </w:p>
          <w:p w:rsidR="007926D2" w:rsidRDefault="007926D2">
            <w:pPr>
              <w:spacing w:after="0" w:line="240" w:lineRule="auto"/>
            </w:pPr>
          </w:p>
          <w:p w:rsidR="007926D2" w:rsidRDefault="00E3271E">
            <w:pPr>
              <w:spacing w:after="0" w:line="240" w:lineRule="auto"/>
            </w:pPr>
            <w:r>
              <w:t xml:space="preserve">Exam-style questions. </w:t>
            </w:r>
          </w:p>
        </w:tc>
        <w:tc>
          <w:tcPr>
            <w:tcW w:w="1694" w:type="dxa"/>
          </w:tcPr>
          <w:p w:rsidR="007926D2" w:rsidRDefault="00E3271E">
            <w:pPr>
              <w:spacing w:after="0" w:line="240" w:lineRule="auto"/>
            </w:pPr>
            <w:r>
              <w:t>Exam-style questions.</w:t>
            </w:r>
          </w:p>
          <w:p w:rsidR="007926D2" w:rsidRDefault="007926D2">
            <w:pPr>
              <w:spacing w:after="0" w:line="240" w:lineRule="auto"/>
            </w:pPr>
          </w:p>
          <w:p w:rsidR="007926D2" w:rsidRDefault="00E3271E">
            <w:pPr>
              <w:spacing w:after="0" w:line="240" w:lineRule="auto"/>
            </w:pPr>
            <w:r>
              <w:t xml:space="preserve">External assessment, marked by exam board. </w:t>
            </w:r>
          </w:p>
        </w:tc>
        <w:tc>
          <w:tcPr>
            <w:tcW w:w="1836" w:type="dxa"/>
          </w:tcPr>
          <w:p w:rsidR="007926D2" w:rsidRDefault="00E3271E">
            <w:pPr>
              <w:spacing w:after="0" w:line="240" w:lineRule="auto"/>
            </w:pPr>
            <w:r>
              <w:t>Tutor2u</w:t>
            </w:r>
          </w:p>
          <w:p w:rsidR="007926D2" w:rsidRDefault="00E3271E">
            <w:pPr>
              <w:spacing w:after="0" w:line="240" w:lineRule="auto"/>
            </w:pPr>
            <w:r>
              <w:t>BBC debt documentary</w:t>
            </w:r>
          </w:p>
          <w:p w:rsidR="007926D2" w:rsidRDefault="00E3271E">
            <w:pPr>
              <w:spacing w:after="0" w:line="240" w:lineRule="auto"/>
            </w:pPr>
            <w:r>
              <w:t>The Guardian</w:t>
            </w:r>
          </w:p>
          <w:p w:rsidR="007926D2" w:rsidRDefault="00E3271E">
            <w:pPr>
              <w:spacing w:after="0" w:line="240" w:lineRule="auto"/>
            </w:pPr>
            <w:r>
              <w:t>Money matters</w:t>
            </w:r>
          </w:p>
          <w:p w:rsidR="007926D2" w:rsidRDefault="00E3271E">
            <w:pPr>
              <w:spacing w:after="0" w:line="240" w:lineRule="auto"/>
            </w:pPr>
            <w:r>
              <w:t>Which Magazine</w:t>
            </w:r>
          </w:p>
          <w:p w:rsidR="007926D2" w:rsidRDefault="007926D2">
            <w:pPr>
              <w:spacing w:after="0" w:line="240" w:lineRule="auto"/>
            </w:pPr>
          </w:p>
          <w:p w:rsidR="007926D2" w:rsidRDefault="007926D2">
            <w:pPr>
              <w:spacing w:after="0" w:line="240" w:lineRule="auto"/>
            </w:pPr>
          </w:p>
          <w:p w:rsidR="007926D2" w:rsidRDefault="00E3271E">
            <w:pPr>
              <w:spacing w:after="0" w:line="240" w:lineRule="auto"/>
            </w:pPr>
            <w:r>
              <w:rPr>
                <w:b/>
              </w:rPr>
              <w:t>Linked units notes 1,2, 4 ,5 &amp; 8</w:t>
            </w:r>
          </w:p>
          <w:p w:rsidR="007926D2" w:rsidRDefault="007926D2">
            <w:pPr>
              <w:spacing w:after="0" w:line="240" w:lineRule="auto"/>
            </w:pPr>
          </w:p>
        </w:tc>
        <w:tc>
          <w:tcPr>
            <w:tcW w:w="2264" w:type="dxa"/>
          </w:tcPr>
          <w:p w:rsidR="007926D2" w:rsidRDefault="00E3271E">
            <w:pPr>
              <w:spacing w:after="0" w:line="240" w:lineRule="auto"/>
            </w:pPr>
            <w:r>
              <w:t>Local banks</w:t>
            </w:r>
          </w:p>
          <w:p w:rsidR="007926D2" w:rsidRDefault="00E3271E">
            <w:pPr>
              <w:spacing w:after="0" w:line="240" w:lineRule="auto"/>
            </w:pPr>
            <w:r>
              <w:t xml:space="preserve">Department stores </w:t>
            </w:r>
            <w:r>
              <w:t>websites</w:t>
            </w:r>
          </w:p>
          <w:p w:rsidR="007926D2" w:rsidRDefault="00E3271E">
            <w:pPr>
              <w:spacing w:after="0" w:line="240" w:lineRule="auto"/>
            </w:pPr>
            <w:r>
              <w:t>Langdon Alumni (work, apprenticeship &amp; university)</w:t>
            </w:r>
          </w:p>
          <w:p w:rsidR="007926D2" w:rsidRDefault="00E3271E">
            <w:pPr>
              <w:spacing w:after="0" w:line="240" w:lineRule="auto"/>
            </w:pPr>
            <w:r>
              <w:t>Martin Lewis Money expert website</w:t>
            </w:r>
          </w:p>
          <w:p w:rsidR="007926D2" w:rsidRDefault="007926D2">
            <w:pPr>
              <w:spacing w:after="0" w:line="240" w:lineRule="auto"/>
            </w:pPr>
          </w:p>
        </w:tc>
      </w:tr>
    </w:tbl>
    <w:p w:rsidR="007926D2" w:rsidRDefault="007926D2"/>
    <w:p w:rsidR="007926D2" w:rsidRDefault="007926D2"/>
    <w:p w:rsidR="007926D2" w:rsidRDefault="007926D2"/>
    <w:p w:rsidR="007926D2" w:rsidRDefault="007926D2"/>
    <w:p w:rsidR="007926D2" w:rsidRDefault="007926D2"/>
    <w:sectPr w:rsidR="007926D2">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8716F"/>
    <w:multiLevelType w:val="multilevel"/>
    <w:tmpl w:val="E5047BF6"/>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D2"/>
    <w:rsid w:val="007926D2"/>
    <w:rsid w:val="00E3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8AE98-C312-478E-A3F4-CCC92AB2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25812"/>
    <w:rPr>
      <w:rFonts w:cs="Times New Roman"/>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ORuEl+kyVeuvUdum7+BrXKlbpg==">AMUW2mU68rtGrBTL3wiuv0Jx1I5hgozgOYV6MBuya2H3blN2AQ6OaA8A3LCfPCZwEdqxIXqYdQkp/QkophVOksZO7WC6L3MQAenlR5Oww7Gt8l/F2GMNRO0=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92D7F324</Template>
  <TotalTime>0</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Madeha Shamsuddin</dc:creator>
  <cp:lastModifiedBy>Tariq-Ul Haque</cp:lastModifiedBy>
  <cp:revision>2</cp:revision>
  <dcterms:created xsi:type="dcterms:W3CDTF">2022-10-17T08:49:00Z</dcterms:created>
  <dcterms:modified xsi:type="dcterms:W3CDTF">2022-10-17T08:49:00Z</dcterms:modified>
</cp:coreProperties>
</file>