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6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368"/>
        <w:gridCol w:w="1780"/>
        <w:gridCol w:w="1743"/>
        <w:gridCol w:w="1694"/>
        <w:gridCol w:w="1836"/>
        <w:gridCol w:w="2264"/>
        <w:tblGridChange w:id="0">
          <w:tblGrid>
            <w:gridCol w:w="2972"/>
            <w:gridCol w:w="2368"/>
            <w:gridCol w:w="1780"/>
            <w:gridCol w:w="1743"/>
            <w:gridCol w:w="1694"/>
            <w:gridCol w:w="1836"/>
            <w:gridCol w:w="2264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11 Term 1-2  Business</w:t>
            </w:r>
          </w:p>
        </w:tc>
        <w:tc>
          <w:tcPr>
            <w:gridSpan w:val="6"/>
            <w:shd w:fill="fff2cc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40404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hd w:fill="fff2cc" w:val="clear"/>
                <w:rtl w:val="0"/>
              </w:rPr>
              <w:t xml:space="preserve">Our mission is to stimulate and challenge our students to excel and provide a desire for lifelong learning and pursue careers in the world of Business, Computing, and ICT.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Enquiry Questions: Are communication or presentation skills more important for business pitches?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Component 2: Planning and Presenting a Micro-Enterprise Idea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this unit, you will develop critical thinking skills as you  review and reflect on the success of the production and delivery of your  presentation, making recommendations for improvements. In term 1 &amp; 2, you will be given a pearson-set assignment, marked by the centre and moderated by Pearson. In the build up to the assessment, you will have revision and assessment skills lessons. 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know about…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Application/Skills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be able to…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Home Learning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Extended Reading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Revision lessons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Assessment skills lessons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Component 2 - summative assessment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Moderation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 response to Task 1, learners will use research methods to choose and reject ideas for a micro-enterprise and develop a business plan.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In response to Task 2, learners will present their business plan and review the production and delivery of their presentation.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Aims and objectives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Promotion &amp; market segmentation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Break-even analysis, cash-flow forecast, income statement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Risk assessment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Communication and presentation skills.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Knowledge- based questions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Seneca – to consolidate learning.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Mock assessment style questions.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Completing coursework: deadlines for coursework submissions as per assessment plans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Economist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City AM newspaper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Financial Times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What makes Lord Sugar invest in particular businesses on The Apprentice?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 w:val="1"/>
    <w:rsid w:val="00E2581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6Ig3u1B3MrMV/DmKp6P5ln8wDw==">CgMxLjAyCGguZ2pkZ3hzOAByITF1dGdWdmdRdkxYanJZQTJBc01ha2t0Si1pMHc3WnVFaQ==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2022-10-17T08:40:00Z</dcterms:created>
  <dc:creator>Madeha Shamsuddin</dc:creator>
</cp:coreProperties>
</file>