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F91" w:rsidRDefault="002B1F91">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0"/>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368"/>
        <w:gridCol w:w="1780"/>
        <w:gridCol w:w="1743"/>
        <w:gridCol w:w="1694"/>
        <w:gridCol w:w="1836"/>
        <w:gridCol w:w="2264"/>
      </w:tblGrid>
      <w:tr w:rsidR="002B1F91">
        <w:trPr>
          <w:trHeight w:val="187"/>
        </w:trPr>
        <w:tc>
          <w:tcPr>
            <w:tcW w:w="2972" w:type="dxa"/>
            <w:shd w:val="clear" w:color="auto" w:fill="FFF2CC"/>
          </w:tcPr>
          <w:p w:rsidR="002B1F91" w:rsidRDefault="00BF1923">
            <w:pPr>
              <w:spacing w:after="0" w:line="240" w:lineRule="auto"/>
              <w:rPr>
                <w:rFonts w:cs="Calibri"/>
                <w:b/>
                <w:color w:val="000000"/>
                <w:sz w:val="24"/>
                <w:szCs w:val="24"/>
              </w:rPr>
            </w:pPr>
            <w:r>
              <w:rPr>
                <w:b/>
                <w:sz w:val="24"/>
                <w:szCs w:val="24"/>
              </w:rPr>
              <w:t>Year 12 Term 1 &amp; 2 BTEC Business</w:t>
            </w:r>
          </w:p>
        </w:tc>
        <w:tc>
          <w:tcPr>
            <w:tcW w:w="11685" w:type="dxa"/>
            <w:gridSpan w:val="6"/>
            <w:shd w:val="clear" w:color="auto" w:fill="FFF2CC"/>
          </w:tcPr>
          <w:p w:rsidR="002B1F91" w:rsidRDefault="00BF1923">
            <w:pPr>
              <w:pBdr>
                <w:top w:val="nil"/>
                <w:left w:val="nil"/>
                <w:bottom w:val="nil"/>
                <w:right w:val="nil"/>
                <w:between w:val="nil"/>
              </w:pBdr>
              <w:spacing w:after="0" w:line="240" w:lineRule="auto"/>
              <w:rPr>
                <w:rFonts w:ascii="Arial" w:eastAsia="Arial" w:hAnsi="Arial" w:cs="Arial"/>
                <w:color w:val="404040"/>
                <w:highlight w:val="white"/>
              </w:rPr>
            </w:pPr>
            <w:r>
              <w:rPr>
                <w:rFonts w:ascii="Arial" w:eastAsia="Arial" w:hAnsi="Arial" w:cs="Arial"/>
                <w:color w:val="404040"/>
                <w:shd w:val="clear" w:color="auto" w:fill="FFF2CC"/>
              </w:rPr>
              <w:t>Our mission is to stimulate and challenge our students to excel and provide a desire for lifelong learning and pursue</w:t>
            </w:r>
            <w:r>
              <w:rPr>
                <w:rFonts w:ascii="Arial" w:eastAsia="Arial" w:hAnsi="Arial" w:cs="Arial"/>
                <w:color w:val="404040"/>
                <w:shd w:val="clear" w:color="auto" w:fill="FFF2CC"/>
              </w:rPr>
              <w:t xml:space="preserve"> </w:t>
            </w:r>
            <w:r>
              <w:rPr>
                <w:rFonts w:ascii="Arial" w:eastAsia="Arial" w:hAnsi="Arial" w:cs="Arial"/>
                <w:color w:val="404040"/>
                <w:shd w:val="clear" w:color="auto" w:fill="FFF2CC"/>
              </w:rPr>
              <w:t>careers in the world of Business, Computing, and ICT.</w:t>
            </w:r>
          </w:p>
        </w:tc>
      </w:tr>
      <w:tr w:rsidR="002B1F91">
        <w:trPr>
          <w:trHeight w:val="364"/>
        </w:trPr>
        <w:tc>
          <w:tcPr>
            <w:tcW w:w="14657" w:type="dxa"/>
            <w:gridSpan w:val="7"/>
            <w:shd w:val="clear" w:color="auto" w:fill="FFF2CC"/>
          </w:tcPr>
          <w:p w:rsidR="002B1F91" w:rsidRDefault="00BF1923">
            <w:pPr>
              <w:spacing w:after="0" w:line="240" w:lineRule="auto"/>
              <w:rPr>
                <w:sz w:val="24"/>
                <w:szCs w:val="24"/>
              </w:rPr>
            </w:pPr>
            <w:r>
              <w:rPr>
                <w:b/>
                <w:sz w:val="24"/>
                <w:szCs w:val="24"/>
              </w:rPr>
              <w:t>Enquiry Questions: Does Sainsbury’s have limited or unlimited liability?</w:t>
            </w:r>
          </w:p>
        </w:tc>
      </w:tr>
      <w:tr w:rsidR="002B1F91">
        <w:trPr>
          <w:trHeight w:val="670"/>
        </w:trPr>
        <w:tc>
          <w:tcPr>
            <w:tcW w:w="14657" w:type="dxa"/>
            <w:gridSpan w:val="7"/>
            <w:shd w:val="clear" w:color="auto" w:fill="FFF2CC"/>
          </w:tcPr>
          <w:p w:rsidR="002B1F91" w:rsidRDefault="00BF1923">
            <w:pPr>
              <w:pBdr>
                <w:top w:val="nil"/>
                <w:left w:val="nil"/>
                <w:bottom w:val="nil"/>
                <w:right w:val="nil"/>
                <w:between w:val="nil"/>
              </w:pBdr>
              <w:spacing w:after="0" w:line="240" w:lineRule="auto"/>
              <w:rPr>
                <w:rFonts w:cs="Calibri"/>
                <w:b/>
                <w:color w:val="000000"/>
                <w:sz w:val="32"/>
                <w:szCs w:val="32"/>
              </w:rPr>
            </w:pPr>
            <w:r>
              <w:rPr>
                <w:b/>
                <w:sz w:val="28"/>
                <w:szCs w:val="28"/>
              </w:rPr>
              <w:t>Unit 1: Exploring Business</w:t>
            </w:r>
          </w:p>
          <w:p w:rsidR="002B1F91" w:rsidRDefault="00BF1923">
            <w:pPr>
              <w:spacing w:after="0" w:line="240" w:lineRule="auto"/>
            </w:pPr>
            <w:r>
              <w:rPr>
                <w:sz w:val="24"/>
                <w:szCs w:val="24"/>
              </w:rPr>
              <w:t>Learners will contrast two businesses according to types of ownership and their key features, including:  sectors, stakeholders, communication, and so forth. This unit gives learners an insight into the different organisations they may work in or operate i</w:t>
            </w:r>
            <w:r>
              <w:rPr>
                <w:sz w:val="24"/>
                <w:szCs w:val="24"/>
              </w:rPr>
              <w:t>n the future. Learners will explore different organisational structures and the functional areas within the business. They will gain knowledge of the varying aims of businesses in different sectors and how they create SMART objectives using real business s</w:t>
            </w:r>
            <w:r>
              <w:rPr>
                <w:sz w:val="24"/>
                <w:szCs w:val="24"/>
              </w:rPr>
              <w:t xml:space="preserve">cenarios. </w:t>
            </w:r>
          </w:p>
        </w:tc>
      </w:tr>
      <w:tr w:rsidR="002B1F91">
        <w:trPr>
          <w:trHeight w:val="326"/>
        </w:trPr>
        <w:tc>
          <w:tcPr>
            <w:tcW w:w="2972"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Knowledge</w:t>
            </w:r>
          </w:p>
          <w:p w:rsidR="002B1F91" w:rsidRDefault="00BF1923">
            <w:pPr>
              <w:pBdr>
                <w:top w:val="nil"/>
                <w:left w:val="nil"/>
                <w:bottom w:val="nil"/>
                <w:right w:val="nil"/>
                <w:between w:val="nil"/>
              </w:pBdr>
              <w:spacing w:after="0" w:line="240" w:lineRule="auto"/>
              <w:rPr>
                <w:rFonts w:cs="Calibri"/>
                <w:b/>
                <w:color w:val="000000"/>
              </w:rPr>
            </w:pPr>
            <w:r>
              <w:rPr>
                <w:rFonts w:cs="Calibri"/>
                <w:color w:val="000000"/>
              </w:rPr>
              <w:t>Students will know about…</w:t>
            </w:r>
          </w:p>
        </w:tc>
        <w:tc>
          <w:tcPr>
            <w:tcW w:w="2368"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Application/Skills</w:t>
            </w:r>
          </w:p>
          <w:p w:rsidR="002B1F91" w:rsidRDefault="00BF1923">
            <w:pPr>
              <w:pBdr>
                <w:top w:val="nil"/>
                <w:left w:val="nil"/>
                <w:bottom w:val="nil"/>
                <w:right w:val="nil"/>
                <w:between w:val="nil"/>
              </w:pBdr>
              <w:spacing w:after="0" w:line="240" w:lineRule="auto"/>
              <w:rPr>
                <w:rFonts w:cs="Calibri"/>
                <w:color w:val="000000"/>
              </w:rPr>
            </w:pPr>
            <w:r>
              <w:rPr>
                <w:rFonts w:cs="Calibri"/>
                <w:color w:val="000000"/>
              </w:rPr>
              <w:t>Students will be able to…</w:t>
            </w:r>
          </w:p>
        </w:tc>
        <w:tc>
          <w:tcPr>
            <w:tcW w:w="1780"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Vocabulary</w:t>
            </w:r>
          </w:p>
        </w:tc>
        <w:tc>
          <w:tcPr>
            <w:tcW w:w="1743"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Home Learning</w:t>
            </w:r>
          </w:p>
        </w:tc>
        <w:tc>
          <w:tcPr>
            <w:tcW w:w="1694"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Assessment</w:t>
            </w:r>
          </w:p>
        </w:tc>
        <w:tc>
          <w:tcPr>
            <w:tcW w:w="1836"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Extra Resources</w:t>
            </w:r>
          </w:p>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Extended Reading</w:t>
            </w:r>
          </w:p>
        </w:tc>
        <w:tc>
          <w:tcPr>
            <w:tcW w:w="2264" w:type="dxa"/>
            <w:shd w:val="clear" w:color="auto" w:fill="auto"/>
          </w:tcPr>
          <w:p w:rsidR="002B1F91" w:rsidRDefault="00BF1923">
            <w:pPr>
              <w:pBdr>
                <w:top w:val="nil"/>
                <w:left w:val="nil"/>
                <w:bottom w:val="nil"/>
                <w:right w:val="nil"/>
                <w:between w:val="nil"/>
              </w:pBdr>
              <w:spacing w:after="0" w:line="240" w:lineRule="auto"/>
              <w:rPr>
                <w:rFonts w:cs="Calibri"/>
                <w:b/>
                <w:color w:val="000000"/>
              </w:rPr>
            </w:pPr>
            <w:r>
              <w:rPr>
                <w:rFonts w:cs="Calibri"/>
                <w:b/>
                <w:color w:val="000000"/>
              </w:rPr>
              <w:t>Cultural Capital</w:t>
            </w:r>
          </w:p>
          <w:p w:rsidR="002B1F91" w:rsidRDefault="002B1F91">
            <w:pPr>
              <w:pBdr>
                <w:top w:val="nil"/>
                <w:left w:val="nil"/>
                <w:bottom w:val="nil"/>
                <w:right w:val="nil"/>
                <w:between w:val="nil"/>
              </w:pBdr>
              <w:spacing w:after="0" w:line="240" w:lineRule="auto"/>
              <w:rPr>
                <w:rFonts w:cs="Calibri"/>
                <w:b/>
                <w:color w:val="000000"/>
              </w:rPr>
            </w:pPr>
          </w:p>
        </w:tc>
      </w:tr>
      <w:tr w:rsidR="002B1F91">
        <w:trPr>
          <w:trHeight w:val="2089"/>
        </w:trPr>
        <w:tc>
          <w:tcPr>
            <w:tcW w:w="2972" w:type="dxa"/>
          </w:tcPr>
          <w:p w:rsidR="002B1F91" w:rsidRDefault="00BF1923">
            <w:pPr>
              <w:numPr>
                <w:ilvl w:val="0"/>
                <w:numId w:val="1"/>
              </w:numPr>
              <w:spacing w:after="0" w:line="240" w:lineRule="auto"/>
            </w:pPr>
            <w:r>
              <w:t>Features of a business</w:t>
            </w:r>
          </w:p>
          <w:p w:rsidR="002B1F91" w:rsidRDefault="00BF1923">
            <w:pPr>
              <w:numPr>
                <w:ilvl w:val="0"/>
                <w:numId w:val="1"/>
              </w:numPr>
              <w:spacing w:after="0" w:line="240" w:lineRule="auto"/>
            </w:pPr>
            <w:r>
              <w:t>Stakeholders and their influence</w:t>
            </w:r>
          </w:p>
          <w:p w:rsidR="002B1F91" w:rsidRDefault="00BF1923">
            <w:pPr>
              <w:numPr>
                <w:ilvl w:val="0"/>
                <w:numId w:val="1"/>
              </w:numPr>
              <w:spacing w:after="0" w:line="240" w:lineRule="auto"/>
            </w:pPr>
            <w:r>
              <w:t>Effective business communications</w:t>
            </w:r>
          </w:p>
          <w:p w:rsidR="002B1F91" w:rsidRDefault="00BF1923">
            <w:pPr>
              <w:numPr>
                <w:ilvl w:val="0"/>
                <w:numId w:val="1"/>
              </w:numPr>
              <w:spacing w:after="0" w:line="240" w:lineRule="auto"/>
            </w:pPr>
            <w:r>
              <w:t xml:space="preserve">Structures and organisation </w:t>
            </w:r>
          </w:p>
          <w:p w:rsidR="002B1F91" w:rsidRDefault="00BF1923">
            <w:pPr>
              <w:numPr>
                <w:ilvl w:val="0"/>
                <w:numId w:val="1"/>
              </w:numPr>
              <w:spacing w:after="0" w:line="240" w:lineRule="auto"/>
            </w:pPr>
            <w:r>
              <w:t>Aims and objectives</w:t>
            </w:r>
          </w:p>
        </w:tc>
        <w:tc>
          <w:tcPr>
            <w:tcW w:w="2368" w:type="dxa"/>
          </w:tcPr>
          <w:p w:rsidR="002B1F91" w:rsidRDefault="00BF1923">
            <w:pPr>
              <w:shd w:val="clear" w:color="auto" w:fill="FFFFFF"/>
              <w:spacing w:before="240" w:after="240" w:line="240" w:lineRule="auto"/>
            </w:pPr>
            <w:r>
              <w:t>A report that examines the features of two contrasting businesses, looking at how each is organised, how their structures enable achievement of their aims and objectives and</w:t>
            </w:r>
            <w:r>
              <w:t xml:space="preserve"> the relationship and communication with stakeholders.</w:t>
            </w: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tc>
        <w:tc>
          <w:tcPr>
            <w:tcW w:w="1780" w:type="dxa"/>
          </w:tcPr>
          <w:p w:rsidR="002B1F91" w:rsidRDefault="00BF1923">
            <w:pPr>
              <w:spacing w:after="0" w:line="240" w:lineRule="auto"/>
            </w:pPr>
            <w:r>
              <w:t>Limited liability</w:t>
            </w:r>
          </w:p>
          <w:p w:rsidR="002B1F91" w:rsidRDefault="00BF1923">
            <w:pPr>
              <w:spacing w:after="0" w:line="240" w:lineRule="auto"/>
            </w:pPr>
            <w:r>
              <w:t xml:space="preserve">Unlimited liability </w:t>
            </w:r>
          </w:p>
          <w:p w:rsidR="002B1F91" w:rsidRDefault="00BF1923">
            <w:pPr>
              <w:spacing w:after="0" w:line="240" w:lineRule="auto"/>
            </w:pPr>
            <w:r>
              <w:t>Stakeholders</w:t>
            </w:r>
          </w:p>
          <w:p w:rsidR="002B1F91" w:rsidRDefault="00BF1923">
            <w:pPr>
              <w:spacing w:after="0" w:line="240" w:lineRule="auto"/>
            </w:pPr>
            <w:r>
              <w:t>Charitable trust</w:t>
            </w:r>
          </w:p>
          <w:p w:rsidR="002B1F91" w:rsidRDefault="00BF1923">
            <w:pPr>
              <w:spacing w:after="0" w:line="240" w:lineRule="auto"/>
            </w:pPr>
            <w:r>
              <w:t>Virtual communities</w:t>
            </w:r>
          </w:p>
          <w:p w:rsidR="002B1F91" w:rsidRDefault="00BF1923">
            <w:pPr>
              <w:spacing w:after="0" w:line="240" w:lineRule="auto"/>
            </w:pPr>
            <w:r>
              <w:t>Pressure groups</w:t>
            </w:r>
          </w:p>
          <w:p w:rsidR="002B1F91" w:rsidRDefault="00BF1923">
            <w:pPr>
              <w:spacing w:after="0" w:line="240" w:lineRule="auto"/>
            </w:pPr>
            <w:r>
              <w:t xml:space="preserve">Tertiary </w:t>
            </w:r>
          </w:p>
          <w:p w:rsidR="002B1F91" w:rsidRDefault="00BF1923">
            <w:pPr>
              <w:spacing w:after="0" w:line="240" w:lineRule="auto"/>
            </w:pPr>
            <w:r>
              <w:t>Quaternary</w:t>
            </w:r>
          </w:p>
          <w:p w:rsidR="002B1F91" w:rsidRDefault="00BF1923">
            <w:pPr>
              <w:spacing w:after="0" w:line="240" w:lineRule="auto"/>
            </w:pPr>
            <w:r>
              <w:t>Innovation</w:t>
            </w:r>
          </w:p>
          <w:p w:rsidR="002B1F91" w:rsidRDefault="00BF1923">
            <w:pPr>
              <w:spacing w:after="0" w:line="240" w:lineRule="auto"/>
            </w:pPr>
            <w:r>
              <w:t>Organisational structures</w:t>
            </w:r>
          </w:p>
          <w:p w:rsidR="002B1F91" w:rsidRDefault="00BF1923">
            <w:pPr>
              <w:spacing w:after="0" w:line="240" w:lineRule="auto"/>
            </w:pPr>
            <w:r>
              <w:t>Aims</w:t>
            </w:r>
          </w:p>
          <w:p w:rsidR="002B1F91" w:rsidRDefault="00BF1923">
            <w:pPr>
              <w:spacing w:after="0" w:line="240" w:lineRule="auto"/>
            </w:pPr>
            <w:r>
              <w:t>Objectives</w:t>
            </w:r>
          </w:p>
          <w:p w:rsidR="002B1F91" w:rsidRDefault="00BF1923">
            <w:pPr>
              <w:spacing w:after="0" w:line="240" w:lineRule="auto"/>
            </w:pPr>
            <w:r>
              <w:t>Quality</w:t>
            </w:r>
          </w:p>
          <w:p w:rsidR="002B1F91" w:rsidRDefault="00BF1923">
            <w:pPr>
              <w:spacing w:after="0" w:line="240" w:lineRule="auto"/>
            </w:pPr>
            <w:r>
              <w:t>SMART</w:t>
            </w:r>
          </w:p>
          <w:p w:rsidR="002B1F91" w:rsidRDefault="00BF1923">
            <w:pPr>
              <w:spacing w:after="0" w:line="240" w:lineRule="auto"/>
            </w:pPr>
            <w:r>
              <w:t>Functional areas</w:t>
            </w:r>
          </w:p>
          <w:p w:rsidR="002B1F91" w:rsidRDefault="00BF1923">
            <w:pPr>
              <w:spacing w:after="0" w:line="240" w:lineRule="auto"/>
            </w:pPr>
            <w:r>
              <w:t>Operational areas</w:t>
            </w:r>
          </w:p>
          <w:p w:rsidR="002B1F91" w:rsidRDefault="00BF1923">
            <w:pPr>
              <w:spacing w:after="0" w:line="240" w:lineRule="auto"/>
            </w:pPr>
            <w:r>
              <w:lastRenderedPageBreak/>
              <w:t>Administration</w:t>
            </w:r>
          </w:p>
          <w:p w:rsidR="002B1F91" w:rsidRDefault="00BF1923">
            <w:pPr>
              <w:spacing w:after="0" w:line="240" w:lineRule="auto"/>
            </w:pPr>
            <w:r>
              <w:t>Profit</w:t>
            </w:r>
          </w:p>
          <w:p w:rsidR="002B1F91" w:rsidRDefault="00BF1923">
            <w:pPr>
              <w:spacing w:after="0" w:line="240" w:lineRule="auto"/>
            </w:pPr>
            <w:r>
              <w:t>Profit maximisation</w:t>
            </w:r>
          </w:p>
          <w:p w:rsidR="002B1F91" w:rsidRDefault="00BF1923">
            <w:pPr>
              <w:spacing w:after="0" w:line="240" w:lineRule="auto"/>
            </w:pPr>
            <w:r>
              <w:t>Market leadership</w:t>
            </w:r>
          </w:p>
          <w:p w:rsidR="002B1F91" w:rsidRDefault="00BF1923">
            <w:pPr>
              <w:spacing w:after="0" w:line="240" w:lineRule="auto"/>
            </w:pPr>
            <w:r>
              <w:t>Mission</w:t>
            </w:r>
          </w:p>
          <w:p w:rsidR="002B1F91" w:rsidRDefault="00BF1923">
            <w:pPr>
              <w:spacing w:after="0" w:line="240" w:lineRule="auto"/>
            </w:pPr>
            <w:r>
              <w:t>Vision</w:t>
            </w:r>
          </w:p>
          <w:p w:rsidR="002B1F91" w:rsidRDefault="00BF1923">
            <w:pPr>
              <w:spacing w:after="0" w:line="240" w:lineRule="auto"/>
            </w:pPr>
            <w:r>
              <w:t>Values</w:t>
            </w:r>
          </w:p>
          <w:p w:rsidR="002B1F91" w:rsidRDefault="00BF1923">
            <w:pPr>
              <w:spacing w:after="0" w:line="240" w:lineRule="auto"/>
            </w:pPr>
            <w:r>
              <w:t>Matrix</w:t>
            </w:r>
          </w:p>
          <w:p w:rsidR="002B1F91" w:rsidRDefault="00BF1923">
            <w:pPr>
              <w:spacing w:after="0" w:line="240" w:lineRule="auto"/>
            </w:pPr>
            <w:proofErr w:type="spellStart"/>
            <w:r>
              <w:t>Holacratic</w:t>
            </w:r>
            <w:proofErr w:type="spellEnd"/>
          </w:p>
          <w:p w:rsidR="002B1F91" w:rsidRDefault="00BF1923">
            <w:pPr>
              <w:spacing w:after="0" w:line="240" w:lineRule="auto"/>
            </w:pPr>
            <w:r>
              <w:t xml:space="preserve">Hierarchical </w:t>
            </w: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p w:rsidR="002B1F91" w:rsidRDefault="002B1F91">
            <w:pPr>
              <w:spacing w:after="0" w:line="240" w:lineRule="auto"/>
            </w:pPr>
          </w:p>
        </w:tc>
        <w:tc>
          <w:tcPr>
            <w:tcW w:w="1743" w:type="dxa"/>
          </w:tcPr>
          <w:p w:rsidR="002B1F91" w:rsidRDefault="00BF1923">
            <w:pPr>
              <w:spacing w:after="0" w:line="240" w:lineRule="auto"/>
            </w:pPr>
            <w:r>
              <w:lastRenderedPageBreak/>
              <w:t>Research of businesses for coursework</w:t>
            </w:r>
          </w:p>
          <w:p w:rsidR="002B1F91" w:rsidRDefault="002B1F91">
            <w:pPr>
              <w:spacing w:after="0" w:line="240" w:lineRule="auto"/>
            </w:pPr>
          </w:p>
          <w:p w:rsidR="002B1F91" w:rsidRDefault="00BF1923">
            <w:pPr>
              <w:spacing w:after="0" w:line="240" w:lineRule="auto"/>
            </w:pPr>
            <w:r>
              <w:t>Completion of coursework</w:t>
            </w:r>
          </w:p>
        </w:tc>
        <w:tc>
          <w:tcPr>
            <w:tcW w:w="1694" w:type="dxa"/>
          </w:tcPr>
          <w:p w:rsidR="002B1F91" w:rsidRDefault="00BF1923">
            <w:pPr>
              <w:spacing w:after="0" w:line="240" w:lineRule="auto"/>
            </w:pPr>
            <w:r>
              <w:t xml:space="preserve">Internally assessed coursework, marked  by teacher and moderated </w:t>
            </w:r>
          </w:p>
        </w:tc>
        <w:tc>
          <w:tcPr>
            <w:tcW w:w="1836" w:type="dxa"/>
          </w:tcPr>
          <w:p w:rsidR="002B1F91" w:rsidRDefault="00BF1923">
            <w:pPr>
              <w:spacing w:after="0" w:line="240" w:lineRule="auto"/>
            </w:pPr>
            <w:r>
              <w:t>Tutor2u</w:t>
            </w:r>
          </w:p>
          <w:p w:rsidR="002B1F91" w:rsidRDefault="00BF1923">
            <w:pPr>
              <w:spacing w:after="0" w:line="240" w:lineRule="auto"/>
            </w:pPr>
            <w:r>
              <w:t xml:space="preserve">The Economist </w:t>
            </w:r>
          </w:p>
          <w:p w:rsidR="002B1F91" w:rsidRDefault="00BF1923">
            <w:pPr>
              <w:spacing w:after="0" w:line="240" w:lineRule="auto"/>
            </w:pPr>
            <w:r>
              <w:t xml:space="preserve">Business Review </w:t>
            </w:r>
          </w:p>
          <w:p w:rsidR="002B1F91" w:rsidRDefault="00BF1923">
            <w:pPr>
              <w:spacing w:after="0" w:line="240" w:lineRule="auto"/>
            </w:pPr>
            <w:r>
              <w:t>The Guardian</w:t>
            </w:r>
          </w:p>
          <w:p w:rsidR="002B1F91" w:rsidRDefault="00BF1923">
            <w:pPr>
              <w:spacing w:after="0" w:line="240" w:lineRule="auto"/>
            </w:pPr>
            <w:r>
              <w:t>The Independent</w:t>
            </w:r>
          </w:p>
          <w:p w:rsidR="002B1F91" w:rsidRDefault="00BF1923">
            <w:pPr>
              <w:spacing w:after="0" w:line="240" w:lineRule="auto"/>
            </w:pPr>
            <w:proofErr w:type="spellStart"/>
            <w:r>
              <w:t>BTECl</w:t>
            </w:r>
            <w:proofErr w:type="spellEnd"/>
            <w:r>
              <w:t xml:space="preserve"> Business books</w:t>
            </w:r>
          </w:p>
          <w:p w:rsidR="002B1F91" w:rsidRDefault="00BF1923">
            <w:pPr>
              <w:spacing w:after="0" w:line="240" w:lineRule="auto"/>
            </w:pPr>
            <w:r>
              <w:rPr>
                <w:b/>
              </w:rPr>
              <w:t xml:space="preserve">Linked units notes 2,3, 4,5,6 &amp; 8 </w:t>
            </w:r>
          </w:p>
          <w:p w:rsidR="002B1F91" w:rsidRDefault="002B1F91">
            <w:pPr>
              <w:spacing w:after="0" w:line="240" w:lineRule="auto"/>
            </w:pPr>
          </w:p>
        </w:tc>
        <w:tc>
          <w:tcPr>
            <w:tcW w:w="2264" w:type="dxa"/>
          </w:tcPr>
          <w:p w:rsidR="002B1F91" w:rsidRDefault="00BF1923">
            <w:pPr>
              <w:spacing w:after="0" w:line="240" w:lineRule="auto"/>
            </w:pPr>
            <w:r>
              <w:t>Local entrepreneur via Zoom</w:t>
            </w:r>
          </w:p>
        </w:tc>
      </w:tr>
    </w:tbl>
    <w:p w:rsidR="002B1F91" w:rsidRDefault="002B1F91"/>
    <w:p w:rsidR="002B1F91" w:rsidRDefault="002B1F91"/>
    <w:p w:rsidR="002B1F91" w:rsidRDefault="002B1F91"/>
    <w:p w:rsidR="002B1F91" w:rsidRDefault="002B1F91"/>
    <w:p w:rsidR="002B1F91" w:rsidRDefault="002B1F91"/>
    <w:sectPr w:rsidR="002B1F91">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C34F0"/>
    <w:multiLevelType w:val="multilevel"/>
    <w:tmpl w:val="29B8FD4A"/>
    <w:lvl w:ilvl="0">
      <w:start w:val="1"/>
      <w:numFmt w:val="decimal"/>
      <w:lvlText w:val="%1."/>
      <w:lvlJc w:val="left"/>
      <w:pPr>
        <w:ind w:left="405" w:hanging="360"/>
      </w:pPr>
      <w:rPr>
        <w:vertAlign w:val="baseline"/>
      </w:rPr>
    </w:lvl>
    <w:lvl w:ilvl="1">
      <w:start w:val="1"/>
      <w:numFmt w:val="lowerLetter"/>
      <w:lvlText w:val="%2."/>
      <w:lvlJc w:val="left"/>
      <w:pPr>
        <w:ind w:left="1125" w:hanging="360"/>
      </w:pPr>
      <w:rPr>
        <w:vertAlign w:val="baseline"/>
      </w:rPr>
    </w:lvl>
    <w:lvl w:ilvl="2">
      <w:start w:val="1"/>
      <w:numFmt w:val="lowerRoman"/>
      <w:lvlText w:val="%3."/>
      <w:lvlJc w:val="right"/>
      <w:pPr>
        <w:ind w:left="1845" w:hanging="180"/>
      </w:pPr>
      <w:rPr>
        <w:vertAlign w:val="baseline"/>
      </w:rPr>
    </w:lvl>
    <w:lvl w:ilvl="3">
      <w:start w:val="1"/>
      <w:numFmt w:val="decimal"/>
      <w:lvlText w:val="%4."/>
      <w:lvlJc w:val="left"/>
      <w:pPr>
        <w:ind w:left="2565" w:hanging="360"/>
      </w:pPr>
      <w:rPr>
        <w:vertAlign w:val="baseline"/>
      </w:rPr>
    </w:lvl>
    <w:lvl w:ilvl="4">
      <w:start w:val="1"/>
      <w:numFmt w:val="lowerLetter"/>
      <w:lvlText w:val="%5."/>
      <w:lvlJc w:val="left"/>
      <w:pPr>
        <w:ind w:left="3285" w:hanging="360"/>
      </w:pPr>
      <w:rPr>
        <w:vertAlign w:val="baseline"/>
      </w:rPr>
    </w:lvl>
    <w:lvl w:ilvl="5">
      <w:start w:val="1"/>
      <w:numFmt w:val="lowerRoman"/>
      <w:lvlText w:val="%6."/>
      <w:lvlJc w:val="right"/>
      <w:pPr>
        <w:ind w:left="4005" w:hanging="180"/>
      </w:pPr>
      <w:rPr>
        <w:vertAlign w:val="baseline"/>
      </w:rPr>
    </w:lvl>
    <w:lvl w:ilvl="6">
      <w:start w:val="1"/>
      <w:numFmt w:val="decimal"/>
      <w:lvlText w:val="%7."/>
      <w:lvlJc w:val="left"/>
      <w:pPr>
        <w:ind w:left="4725" w:hanging="360"/>
      </w:pPr>
      <w:rPr>
        <w:vertAlign w:val="baseline"/>
      </w:rPr>
    </w:lvl>
    <w:lvl w:ilvl="7">
      <w:start w:val="1"/>
      <w:numFmt w:val="lowerLetter"/>
      <w:lvlText w:val="%8."/>
      <w:lvlJc w:val="left"/>
      <w:pPr>
        <w:ind w:left="5445" w:hanging="360"/>
      </w:pPr>
      <w:rPr>
        <w:vertAlign w:val="baseline"/>
      </w:rPr>
    </w:lvl>
    <w:lvl w:ilvl="8">
      <w:start w:val="1"/>
      <w:numFmt w:val="lowerRoman"/>
      <w:lvlText w:val="%9."/>
      <w:lvlJc w:val="right"/>
      <w:pPr>
        <w:ind w:left="6165"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91"/>
    <w:rsid w:val="002B1F91"/>
    <w:rsid w:val="00BF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DB46B-BA3F-458F-88B0-766916BF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812"/>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E25812"/>
    <w:rPr>
      <w:rFonts w:cs="Times New Roman"/>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Q7JaHQg4KpJKfjTm0cqnMfL+Q==">AMUW2mU7cEE5oeZGQRLgpBBM4FXYX6+2Q4yGKYV8BtH+cmwtKwHM5PJbf8f8hv+nmKkJ0KEeT6wdODaRqwzFxyJ0+Af76iBiL3jwvzKqNS7xuJsTM2NN534=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91CE10A1</Template>
  <TotalTime>1</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Madeha Shamsuddin</dc:creator>
  <cp:lastModifiedBy>Tariq-Ul Haque</cp:lastModifiedBy>
  <cp:revision>2</cp:revision>
  <dcterms:created xsi:type="dcterms:W3CDTF">2022-10-17T08:44:00Z</dcterms:created>
  <dcterms:modified xsi:type="dcterms:W3CDTF">2022-10-17T08:44:00Z</dcterms:modified>
</cp:coreProperties>
</file>