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2368"/>
        <w:gridCol w:w="1780"/>
        <w:gridCol w:w="1743"/>
        <w:gridCol w:w="1694"/>
        <w:gridCol w:w="1836"/>
        <w:gridCol w:w="2264"/>
        <w:tblGridChange w:id="0">
          <w:tblGrid>
            <w:gridCol w:w="2972"/>
            <w:gridCol w:w="2368"/>
            <w:gridCol w:w="1780"/>
            <w:gridCol w:w="1743"/>
            <w:gridCol w:w="1694"/>
            <w:gridCol w:w="1836"/>
            <w:gridCol w:w="2264"/>
          </w:tblGrid>
        </w:tblGridChange>
      </w:tblGrid>
      <w:tr>
        <w:trPr>
          <w:cantSplit w:val="0"/>
          <w:trHeight w:val="187" w:hRule="atLeast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Year 1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 Term 1 -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2cc" w:val="clear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color w:val="40404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404040"/>
                <w:shd w:fill="fff2cc" w:val="clear"/>
                <w:rtl w:val="0"/>
              </w:rPr>
              <w:t xml:space="preserve">Our mission is to stimulate and challenge our students to excel and provide a desire for lifelong learning and pursue careers in the world of Business, Computing, and ICT.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Enquiry Questions: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all new start-ups make a profit in the first year of trading?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Component 1: Exploring Enterprises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i w:val="1"/>
                <w:sz w:val="17"/>
                <w:szCs w:val="17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 this unit</w:t>
            </w:r>
            <w:r w:rsidDel="00000000" w:rsidR="00000000" w:rsidRPr="00000000">
              <w:rPr>
                <w:rtl w:val="0"/>
              </w:rPr>
              <w:t xml:space="preserve">, you will explore different enterprises - developing your understanding of the characteristics of enterprises and the skills needed by entrepreneurs to be successful. You will explore different methods of market research.</w:t>
            </w:r>
            <w:r w:rsidDel="00000000" w:rsidR="00000000" w:rsidRPr="00000000">
              <w:rPr>
                <w:i w:val="1"/>
                <w:sz w:val="17"/>
                <w:szCs w:val="1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know about…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Application/Skills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Students will be able to…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Vocabulary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Home Learning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Extra Resources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Extended Reading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Cultural Capital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Size and features of SMEs, including types of business ownerships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Markets, sectors, models and industries in which enterprises operate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Aims and activities of enterprises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Skills and characteristics of entrepreneurs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Market research methods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Understanding customer needs</w:t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Knowledge and understanding of the skills and characteristics of the specific entrepreneur(s).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Judgements about the impact of the skills and characteristics of the specific entrepreneur(s) in helping to support the aims of the selected enterprise.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Knowledge and understanding of the primary and secondary market research methods.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SME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Sole trader, 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partnership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Limited liability partnership,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LTD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Social enterprises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B2B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B2C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Goods vs services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Bricks, clicks and flips,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E-commerce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Aims and objectives 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Entrepreneurs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Primary and secondary market research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Quantitative and Qualitative research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Needs and wants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283" w:hanging="285"/>
              <w:rPr/>
            </w:pPr>
            <w:r w:rsidDel="00000000" w:rsidR="00000000" w:rsidRPr="00000000">
              <w:rPr>
                <w:rtl w:val="0"/>
              </w:rPr>
              <w:t xml:space="preserve">Adding value  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Knowledge- based questions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color w:val="000000"/>
                <w:rtl w:val="0"/>
              </w:rPr>
              <w:t xml:space="preserve">eneca – to consolidate learning.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Mock assessment style questions.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Completing assignment: deadlines for submissions as per assessment plans 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BBC News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Economist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City AM newspaper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Financial Times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How would the aims and objectives differ between a social enterprise, such as Cancer research, and a private sector firm, such as Debenhams?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 w:val="1"/>
    <w:rsid w:val="00E25812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66gfrODssndzRPBZRKDU91qGFA==">CgMxLjAyCGguZ2pkZ3hzOAByITF3bjN4d1ZVSzNtODVwNEJCS1gyRmQ1OFBZQmdZN0ZpOA==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2022-10-17T08:33:00Z</dcterms:created>
  <dc:creator>Madeha Shamsuddin</dc:creator>
</cp:coreProperties>
</file>