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-114299</wp:posOffset>
                </wp:positionV>
                <wp:extent cx="5181600" cy="713532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759963" y="3427997"/>
                          <a:ext cx="5172075" cy="704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UNIT OVERVIEW: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El trabajo 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Work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ENQUIRY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:¿Qué significa ser profesional en el trabajo?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What does it mean to be professional at work?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What does it mean to be professional at work?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ENQUIRY: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-114299</wp:posOffset>
                </wp:positionV>
                <wp:extent cx="5181600" cy="713532"/>
                <wp:effectExtent b="0" l="0" r="0" t="0"/>
                <wp:wrapNone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1600" cy="71353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5422900</wp:posOffset>
                </wp:positionH>
                <wp:positionV relativeFrom="paragraph">
                  <wp:posOffset>-1079499</wp:posOffset>
                </wp:positionV>
                <wp:extent cx="1279974" cy="632611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710776" y="3468457"/>
                          <a:ext cx="1270449" cy="623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Y11 SPANISH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TERM 2	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5422900</wp:posOffset>
                </wp:positionH>
                <wp:positionV relativeFrom="paragraph">
                  <wp:posOffset>-1079499</wp:posOffset>
                </wp:positionV>
                <wp:extent cx="1279974" cy="632611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9974" cy="6326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20.0" w:type="dxa"/>
        <w:jc w:val="lef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4286"/>
        <w:gridCol w:w="4004"/>
        <w:gridCol w:w="1092"/>
        <w:gridCol w:w="1038"/>
        <w:tblGridChange w:id="0">
          <w:tblGrid>
            <w:gridCol w:w="4286"/>
            <w:gridCol w:w="4004"/>
            <w:gridCol w:w="1092"/>
            <w:gridCol w:w="1038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intention: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to talk about work and work experiences in the past, present and future and understand different skills required in a variety of jobs.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Success criteria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name various jobs and places of work and give opinions about them.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explain the qualities and skills needed in the workplace using adjectives.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describe what I normally do to earn money or chores I do at home using the present tense, time frames (adverbs of frequency) and story telling (sequencers).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narrate a work experience or job I did in the past using the past tense of regular and irregular verbs and the imperfect tense.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evaluate how learning languages can be useful in various jobs listing advantages.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write a CV in Spanish and apply for jobs using application forms and formal letters and the prefect tense.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reflect on what job/s I would like to do in the future and why using future and conditional tenses.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summative and formative assessment details: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40, 90, 150 word texts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Reading and listening practice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PPE speaking exam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Home Learning (What and how often):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Module 7 on memrise. (15 mins a day) Vocabulary and verb sheets.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Photo description sheet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Topic Sequence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Types of jobs and workplaces.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Revision of personality adjectives and personal skills.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House chores and part-time work.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Describing a work experience in the past.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Importance of learning languages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Writing a CV in Spanish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Applying for a job using application forms and formal letters.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Future career plans.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Discussing future career plans and options.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Independent Learning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Importance of learning languages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https://www.leadwithlanguages.org/why-learn-languages/top-ten-reasons-to-learn-languages/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Jobs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https://www.bbc.co.uk/bitesize/guides/zdmk6v4/revision/1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Career Choices and Ambitions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https://www.bbc.co.uk/bitesize/guides/zfrn47h/revision/1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Imperfect tense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https://www.bbc.co.uk/bitesize/guides/zryhgwx/revision/1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175.0" w:type="dxa"/>
        <w:jc w:val="lef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10175"/>
        <w:tblGridChange w:id="0">
          <w:tblGrid>
            <w:gridCol w:w="10175"/>
          </w:tblGrid>
        </w:tblGridChange>
      </w:tblGrid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Success criteria</w:t>
            </w:r>
            <w:r w:rsidDel="00000000" w:rsidR="00000000" w:rsidRPr="00000000">
              <w:rPr>
                <w:rtl w:val="0"/>
              </w:rPr>
              <w:t xml:space="preserve"> – Have you met them? Show your </w:t>
            </w:r>
            <w:r w:rsidDel="00000000" w:rsidR="00000000" w:rsidRPr="00000000">
              <w:rPr>
                <w:u w:val="single"/>
                <w:rtl w:val="0"/>
              </w:rPr>
              <w:t xml:space="preserve">evidence</w:t>
            </w:r>
            <w:r w:rsidDel="00000000" w:rsidR="00000000" w:rsidRPr="00000000">
              <w:rPr>
                <w:rtl w:val="0"/>
              </w:rPr>
              <w:t xml:space="preserve"> in the boxes below.</w:t>
            </w:r>
          </w:p>
        </w:tc>
      </w:tr>
      <w:tr>
        <w:trPr>
          <w:cantSplit w:val="0"/>
          <w:trHeight w:val="1651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9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8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3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4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6.</w:t>
            </w:r>
          </w:p>
        </w:tc>
      </w:tr>
      <w:tr>
        <w:trPr>
          <w:cantSplit w:val="0"/>
          <w:trHeight w:val="937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How will you improve your work?</w:t>
            </w:r>
          </w:p>
          <w:p w:rsidR="00000000" w:rsidDel="00000000" w:rsidP="00000000" w:rsidRDefault="00000000" w:rsidRPr="00000000" w14:paraId="0000004F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-38099</wp:posOffset>
                </wp:positionV>
                <wp:extent cx="2600325" cy="3048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50600" y="3632363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End of Unit EVALUATION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-38099</wp:posOffset>
                </wp:positionV>
                <wp:extent cx="2600325" cy="3048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0325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4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  <w:font w:name="Wingdings 2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962025" cy="476250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2025" cy="476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tabs>
        <w:tab w:val="center" w:pos="4513"/>
        <w:tab w:val="right" w:pos="9026"/>
      </w:tabs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Professionalism. Inclusion. Pedagogy. Curriculum.</w:t>
    </w:r>
  </w:p>
  <w:p w:rsidR="00000000" w:rsidDel="00000000" w:rsidP="00000000" w:rsidRDefault="00000000" w:rsidRPr="00000000" w14:paraId="00000053">
    <w:pPr>
      <w:tabs>
        <w:tab w:val="center" w:pos="4513"/>
        <w:tab w:val="right" w:pos="9026"/>
      </w:tabs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Be professional. Be inclusive. Be a learner. Be knowledgeable.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984E57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 w:val="1"/>
    <w:rsid w:val="00984E57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4E5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984E57"/>
    <w:rPr>
      <w:rFonts w:ascii="Tahoma" w:cs="Tahoma" w:hAnsi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 w:val="1"/>
    <w:rsid w:val="00216BCA"/>
    <w:pPr>
      <w:ind w:left="720"/>
      <w:contextualSpacing w:val="1"/>
    </w:pPr>
  </w:style>
  <w:style w:type="character" w:styleId="Hyperlink">
    <w:name w:val="Hyperlink"/>
    <w:uiPriority w:val="99"/>
    <w:unhideWhenUsed w:val="1"/>
    <w:rsid w:val="00D003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0075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bbc.co.uk/bitesize/guides/zfrn47h/revision/1" TargetMode="External"/><Relationship Id="rId10" Type="http://schemas.openxmlformats.org/officeDocument/2006/relationships/hyperlink" Target="https://www.bbc.co.uk/bitesize/guides/zdmk6v4/revision/1" TargetMode="External"/><Relationship Id="rId13" Type="http://schemas.openxmlformats.org/officeDocument/2006/relationships/image" Target="media/image2.png"/><Relationship Id="rId12" Type="http://schemas.openxmlformats.org/officeDocument/2006/relationships/hyperlink" Target="https://www.bbc.co.uk/bitesize/guides/zryhgwx/revision/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eadwithlanguages.org/why-learn-languages/top-ten-reasons-to-learn-languages/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8aGrL1L5kwn40V3f2QxmtqsyRA==">AMUW2mW7XrTg1x28kJwEK89f/AqJOFlFP67I1ZJynu2hLLqFIer8aUsZKVa3+dsr8HGeino1qNxhkyuzR1Q4hILntGr34ht2VRapka4TIMJwIsZbhN5sYhY38Y2aVNhnTHDm1GZTJgXB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2022-11-09T10:21:00Z</dcterms:created>
  <dc:creator>Nicholas Langham</dc:creator>
</cp:coreProperties>
</file>