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56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89"/>
        <w:gridCol w:w="1403"/>
        <w:gridCol w:w="598"/>
        <w:gridCol w:w="2109"/>
        <w:gridCol w:w="1985"/>
        <w:gridCol w:w="1865"/>
        <w:gridCol w:w="2137"/>
        <w:gridCol w:w="2829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0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 xml:space="preserve">Year </w:t>
            </w:r>
            <w:r>
              <w:rPr>
                <w:b w:val="1"/>
                <w:bCs w:val="1"/>
                <w:rtl w:val="0"/>
                <w:lang w:val="en-US"/>
              </w:rPr>
              <w:t>8 Term 6.2</w:t>
            </w:r>
            <w:r>
              <w:rPr>
                <w:b w:val="1"/>
                <w:bCs w:val="1"/>
                <w:rtl w:val="0"/>
                <w:lang w:val="en-US"/>
              </w:rPr>
              <w:t>- Maths</w:t>
            </w:r>
          </w:p>
        </w:tc>
        <w:tc>
          <w:tcPr>
            <w:tcW w:type="dxa" w:w="1152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30" w:hRule="atLeast"/>
        </w:trPr>
        <w:tc>
          <w:tcPr>
            <w:tcW w:type="dxa" w:w="1561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b w:val="1"/>
                <w:bCs w:val="1"/>
                <w:sz w:val="40"/>
                <w:szCs w:val="40"/>
                <w:rtl w:val="0"/>
                <w:lang w:val="en-US"/>
              </w:rPr>
              <w:t>Enquiry Question:</w:t>
            </w:r>
            <w:r>
              <w:rPr>
                <w:b w:val="1"/>
                <w:bCs w:val="1"/>
                <w:sz w:val="40"/>
                <w:szCs w:val="40"/>
                <w:rtl w:val="0"/>
                <w:lang w:val="en-US"/>
              </w:rPr>
              <w:t>If you increase a a value by a percentage and then decrease by the same percentage what value will you end up with?</w:t>
            </w:r>
          </w:p>
        </w:tc>
      </w:tr>
      <w:tr>
        <w:tblPrEx>
          <w:shd w:val="clear" w:color="auto" w:fill="cdd4e9"/>
        </w:tblPrEx>
        <w:trPr>
          <w:trHeight w:val="1390" w:hRule="atLeast"/>
        </w:trPr>
        <w:tc>
          <w:tcPr>
            <w:tcW w:type="dxa" w:w="1561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>
                <w:b w:val="1"/>
                <w:bCs w:val="1"/>
                <w:sz w:val="32"/>
                <w:szCs w:val="32"/>
              </w:rPr>
            </w:pP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Unit title: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Non-calculator percentages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Why now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You first learn percentages at primary school and then we developed this further in the 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rational numbers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 unit in 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Year 7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 and earlier this year with the 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fractions, decimals and percentages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</w:rPr>
              <w:t xml:space="preserve"> unit.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</w:rPr>
              <w:t xml:space="preserve">  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In this unit, we will revise finding the percentage of an amount without a calculator. In 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year 9,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 you will learn to work with percentages by using a calculator and finding more practical ways of calculating 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percentages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 using 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fr-FR"/>
              </w:rPr>
              <w:t>multipliers.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</w:rPr>
              <w:t> </w:t>
            </w:r>
            <w:r>
              <w:rPr>
                <w:rFonts w:ascii="Calibri" w:cs="Calibri" w:hAnsi="Calibri" w:eastAsia="Calibri"/>
                <w:sz w:val="24"/>
                <w:szCs w:val="24"/>
              </w:rPr>
            </w:r>
          </w:p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  <w:sz w:val="21"/>
                <w:szCs w:val="21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Knowledge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1"/>
                <w:szCs w:val="21"/>
                <w:rtl w:val="0"/>
                <w:lang w:val="en-US"/>
              </w:rPr>
              <w:t>Students will know about</w:t>
            </w:r>
            <w:r>
              <w:rPr>
                <w:rFonts w:ascii="Calibri" w:cs="Calibri" w:hAnsi="Calibri" w:eastAsia="Calibri"/>
                <w:b w:val="0"/>
                <w:bCs w:val="0"/>
                <w:sz w:val="21"/>
                <w:szCs w:val="21"/>
                <w:rtl w:val="0"/>
                <w:lang w:val="en-US"/>
              </w:rPr>
              <w:t>…</w:t>
            </w:r>
          </w:p>
        </w:tc>
        <w:tc>
          <w:tcPr>
            <w:tcW w:type="dxa" w:w="20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  <w:sz w:val="21"/>
                <w:szCs w:val="21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Application/Skills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1"/>
                <w:szCs w:val="21"/>
                <w:rtl w:val="0"/>
                <w:lang w:val="en-US"/>
              </w:rPr>
              <w:t>Students will be able to</w:t>
            </w:r>
            <w:r>
              <w:rPr>
                <w:sz w:val="21"/>
                <w:szCs w:val="21"/>
                <w:rtl w:val="0"/>
                <w:lang w:val="en-US"/>
              </w:rPr>
              <w:t>…</w:t>
            </w:r>
          </w:p>
        </w:tc>
        <w:tc>
          <w:tcPr>
            <w:tcW w:type="dxa" w:w="2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  <w:sz w:val="21"/>
                <w:szCs w:val="21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Vocabulary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sz w:val="21"/>
                <w:szCs w:val="21"/>
                <w:rtl w:val="0"/>
                <w:lang w:val="en-US"/>
              </w:rPr>
              <w:t>(Tier 2 and 3)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Home</w:t>
            </w:r>
            <w:r>
              <w:rPr>
                <w:sz w:val="21"/>
                <w:szCs w:val="21"/>
                <w:rtl w:val="0"/>
                <w:lang w:val="en-US"/>
              </w:rPr>
              <w:t xml:space="preserve"> 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Learning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Assessment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  <w:sz w:val="21"/>
                <w:szCs w:val="21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Extra Resources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Extended Reading</w:t>
            </w:r>
          </w:p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  <w:sz w:val="21"/>
                <w:szCs w:val="21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Cultural 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Capital</w:t>
            </w:r>
          </w:p>
        </w:tc>
      </w:tr>
      <w:tr>
        <w:tblPrEx>
          <w:shd w:val="clear" w:color="auto" w:fill="cdd4e9"/>
        </w:tblPrEx>
        <w:trPr>
          <w:trHeight w:val="4284" w:hRule="atLeast"/>
        </w:trPr>
        <w:tc>
          <w:tcPr>
            <w:tcW w:type="dxa" w:w="26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W</w:t>
            </w:r>
            <w:r>
              <w:rPr>
                <w:rtl w:val="0"/>
                <w:lang w:val="en-US"/>
              </w:rPr>
              <w:t>hat a percentage is and its relation to fractions and decimals</w:t>
            </w:r>
          </w:p>
          <w:p>
            <w:pPr>
              <w:pStyle w:val="Body"/>
              <w:tabs>
                <w:tab w:val="left" w:pos="360"/>
                <w:tab w:val="left" w:pos="720"/>
              </w:tabs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2. Building up complex percentages from simpler ones</w:t>
            </w:r>
          </w:p>
          <w:p>
            <w:pPr>
              <w:pStyle w:val="Body"/>
              <w:tabs>
                <w:tab w:val="left" w:pos="360"/>
                <w:tab w:val="left" w:pos="720"/>
              </w:tabs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3. Interpreting percentages in contexts and worded problems</w:t>
            </w:r>
          </w:p>
          <w:p>
            <w:pPr>
              <w:pStyle w:val="Body"/>
              <w:tabs>
                <w:tab w:val="left" w:pos="360"/>
                <w:tab w:val="left" w:pos="720"/>
              </w:tabs>
              <w:spacing w:after="0" w:line="240" w:lineRule="auto"/>
            </w:pPr>
            <w:r>
              <w:rPr>
                <w:rtl w:val="0"/>
                <w:lang w:val="en-US"/>
              </w:rPr>
              <w:t>4. Choosing efficient methods for calculations</w:t>
            </w:r>
          </w:p>
        </w:tc>
        <w:tc>
          <w:tcPr>
            <w:tcW w:type="dxa" w:w="200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Calculate a simple percentage of a given amount</w:t>
            </w:r>
          </w:p>
          <w:p>
            <w:pPr>
              <w:pStyle w:val="List 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Build up more complex percentages from simple ones</w:t>
            </w:r>
          </w:p>
          <w:p>
            <w:pPr>
              <w:pStyle w:val="List 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Convert percentages, fractions and decimals</w:t>
            </w:r>
          </w:p>
          <w:p>
            <w:pPr>
              <w:pStyle w:val="List 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Apply and interpret percentages in a range of contexts and worded problems</w:t>
            </w:r>
            <w:r>
              <w:rPr/>
            </w:r>
          </w:p>
        </w:tc>
        <w:tc>
          <w:tcPr>
            <w:tcW w:type="dxa" w:w="2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  <w:i w:val="1"/>
                <w:iCs w:val="1"/>
                <w:u w:val="single"/>
                <w:lang w:val="en-US"/>
              </w:rPr>
            </w:pPr>
            <w:r>
              <w:rPr>
                <w:b w:val="1"/>
                <w:bCs w:val="1"/>
                <w:i w:val="1"/>
                <w:iCs w:val="1"/>
                <w:u w:val="single"/>
                <w:rtl w:val="0"/>
                <w:lang w:val="en-US"/>
              </w:rPr>
              <w:t xml:space="preserve">Tier </w:t>
            </w:r>
            <w:r>
              <w:rPr>
                <w:b w:val="1"/>
                <w:bCs w:val="1"/>
                <w:i w:val="1"/>
                <w:iCs w:val="1"/>
                <w:u w:val="single"/>
                <w:rtl w:val="0"/>
                <w:lang w:val="en-US"/>
              </w:rPr>
              <w:t>2</w:t>
            </w:r>
          </w:p>
          <w:p>
            <w:pPr>
              <w:pStyle w:val="No Spacing"/>
              <w:spacing w:after="0" w:line="240" w:lineRule="auto"/>
              <w:jc w:val="center"/>
              <w:rPr/>
            </w:pPr>
            <w:r>
              <w:rPr>
                <w:rtl w:val="0"/>
                <w:lang w:val="en-US"/>
              </w:rPr>
              <w:t>Efficient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Amount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Interpret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u w:val="single"/>
                <w:rtl w:val="0"/>
              </w:rPr>
            </w:pPr>
            <w:r>
              <w:rPr>
                <w:b w:val="1"/>
                <w:bCs w:val="1"/>
                <w:i w:val="1"/>
                <w:iCs w:val="1"/>
                <w:u w:val="single"/>
                <w:rtl w:val="0"/>
                <w:lang w:val="en-US"/>
              </w:rPr>
              <w:t>Tier 3</w:t>
            </w:r>
          </w:p>
          <w:p>
            <w:pPr>
              <w:pStyle w:val="No Spacing"/>
              <w:spacing w:after="0" w:line="240" w:lineRule="auto"/>
              <w:jc w:val="center"/>
              <w:rPr/>
            </w:pPr>
            <w:r>
              <w:rPr>
                <w:rtl w:val="0"/>
                <w:lang w:val="en-US"/>
              </w:rPr>
              <w:t>Fraction</w:t>
            </w:r>
          </w:p>
          <w:p>
            <w:pPr>
              <w:pStyle w:val="No Spacing"/>
              <w:spacing w:after="0" w:line="240" w:lineRule="auto"/>
              <w:jc w:val="center"/>
              <w:rPr/>
            </w:pPr>
            <w:r>
              <w:rPr>
                <w:rtl w:val="0"/>
                <w:lang w:val="en-US"/>
              </w:rPr>
              <w:t>Decimal</w:t>
            </w:r>
            <w:r>
              <w:rPr/>
              <w:br w:type="textWrapping"/>
            </w:r>
            <w:r>
              <w:rPr>
                <w:rtl w:val="0"/>
                <w:lang w:val="en-US"/>
              </w:rPr>
              <w:t>Percentage</w:t>
            </w:r>
          </w:p>
          <w:p>
            <w:pPr>
              <w:pStyle w:val="No Spacing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Build up</w:t>
            </w:r>
          </w:p>
        </w:tc>
        <w:tc>
          <w:tcPr>
            <w:tcW w:type="dxa" w:w="19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en-US"/>
              </w:rPr>
              <w:t>Pre-classroom: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Pre-lesson tasks on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google classroom</w:t>
            </w:r>
            <w:r>
              <w:rPr>
                <w:rtl w:val="0"/>
                <w:lang w:val="en-US"/>
              </w:rPr>
              <w:t xml:space="preserve"> to get you thinking.</w:t>
            </w:r>
          </w:p>
          <w:p>
            <w:pPr>
              <w:pStyle w:val="No Spacing"/>
              <w:spacing w:after="0" w:line="240" w:lineRule="auto"/>
              <w:rPr>
                <w:lang w:val="en-US"/>
              </w:rPr>
            </w:pP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Diagnostic questions</w:t>
            </w:r>
          </w:p>
          <w:p>
            <w:pPr>
              <w:pStyle w:val="No Spacing"/>
              <w:spacing w:after="0" w:line="240" w:lineRule="auto"/>
              <w:rPr>
                <w:lang w:val="en-US"/>
              </w:rPr>
            </w:pP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u w:val="single"/>
                <w:rtl w:val="0"/>
              </w:rPr>
            </w:pPr>
            <w:r>
              <w:rPr>
                <w:b w:val="1"/>
                <w:bCs w:val="1"/>
                <w:u w:val="single"/>
                <w:rtl w:val="0"/>
                <w:lang w:val="en-US"/>
              </w:rPr>
              <w:t>Post-Classroom: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Post lessons online tasks:</w:t>
            </w:r>
          </w:p>
          <w:p>
            <w:pPr>
              <w:pStyle w:val="No Spacing"/>
              <w:spacing w:after="0" w:line="240" w:lineRule="auto"/>
              <w:rPr>
                <w:lang w:val="en-US"/>
              </w:rPr>
            </w:pPr>
          </w:p>
          <w:p>
            <w:pPr>
              <w:pStyle w:val="No Spacing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My Maths</w:t>
            </w:r>
          </w:p>
          <w:p>
            <w:pPr>
              <w:pStyle w:val="No Spacing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Google Form Quizzes</w:t>
            </w:r>
          </w:p>
          <w:p>
            <w:pPr>
              <w:pStyle w:val="No Spacing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Independent learning notes</w:t>
            </w:r>
            <w:r>
              <w:rPr/>
            </w:r>
          </w:p>
        </w:tc>
        <w:tc>
          <w:tcPr>
            <w:tcW w:type="dxa" w:w="18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Formative assessment at the end of the units in their LPS books.  </w:t>
            </w:r>
          </w:p>
          <w:p>
            <w:pPr>
              <w:pStyle w:val="No Spacing"/>
              <w:spacing w:after="0" w:line="240" w:lineRule="auto"/>
              <w:rPr>
                <w:lang w:val="en-US"/>
              </w:rPr>
            </w:pP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This will be a combination of students presenting what they know in a creative way followed by some differentiated questions. </w:t>
            </w:r>
          </w:p>
          <w:p>
            <w:pPr>
              <w:pStyle w:val="No Spacing"/>
              <w:spacing w:after="0" w:line="240" w:lineRule="auto"/>
              <w:rPr>
                <w:lang w:val="en-US"/>
              </w:rPr>
            </w:pPr>
          </w:p>
          <w:p>
            <w:pPr>
              <w:pStyle w:val="No Spacing"/>
              <w:spacing w:after="0" w:line="240" w:lineRule="auto"/>
              <w:rPr>
                <w:lang w:val="en-US"/>
              </w:rPr>
            </w:pP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Summative Assessment at the end of T</w:t>
            </w:r>
            <w:r>
              <w:rPr>
                <w:rtl w:val="0"/>
                <w:lang w:val="en-US"/>
              </w:rPr>
              <w:t>6</w:t>
            </w:r>
            <w:r>
              <w:rPr>
                <w:rtl w:val="0"/>
                <w:lang w:val="en-US"/>
              </w:rPr>
              <w:t xml:space="preserve">.  </w:t>
            </w:r>
            <w:r>
              <w:rPr/>
            </w:r>
          </w:p>
        </w:tc>
        <w:tc>
          <w:tcPr>
            <w:tcW w:type="dxa" w:w="213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rPr>
                <w:rFonts w:ascii="Calibri" w:cs="Calibri" w:hAnsi="Calibri" w:eastAsia="Calibri"/>
                <w:sz w:val="24"/>
                <w:szCs w:val="24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u w:val="single"/>
                <w:rtl w:val="0"/>
                <w:lang w:val="en-US"/>
              </w:rPr>
              <w:t>Enrichment: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-Explore where the percentage symbol first developed</w:t>
            </w:r>
          </w:p>
          <w:p>
            <w:pPr>
              <w:pStyle w:val="Default"/>
              <w:bidi w:val="0"/>
              <w:spacing w:line="3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rtl w:val="0"/>
              </w:rPr>
            </w:pPr>
            <w:r>
              <w:rPr>
                <w:rFonts w:ascii="Times" w:hAnsi="Times"/>
                <w:sz w:val="32"/>
                <w:szCs w:val="32"/>
                <w:rtl w:val="0"/>
                <w:lang w:val="en-US"/>
              </w:rPr>
              <w:t>-Matching fractions, decimals &amp; percentages</w:t>
            </w:r>
          </w:p>
          <w:p>
            <w:pPr>
              <w:pStyle w:val="Default"/>
              <w:bidi w:val="0"/>
              <w:spacing w:line="34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u w:val="none"/>
                <w:rtl w:val="0"/>
              </w:rPr>
            </w:pPr>
            <w:r>
              <w:rPr>
                <w:rStyle w:val="Hyperlink.0"/>
                <w:rFonts w:ascii="Helvetica" w:cs="Helvetica" w:hAnsi="Helvetica" w:eastAsia="Helvetica"/>
                <w:color w:val="0000ff"/>
                <w:sz w:val="29"/>
                <w:szCs w:val="29"/>
                <w:u w:val="single" w:color="0000ff"/>
                <w:rtl w:val="0"/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color w:val="0000ff"/>
                <w:sz w:val="29"/>
                <w:szCs w:val="29"/>
                <w:u w:val="single" w:color="0000ff"/>
                <w:rtl w:val="0"/>
              </w:rPr>
              <w:instrText xml:space="preserve"> HYPERLINK "https://nrich.maths.org/1249"</w:instrText>
            </w:r>
            <w:r>
              <w:rPr>
                <w:rStyle w:val="Hyperlink.0"/>
                <w:rFonts w:ascii="Helvetica" w:cs="Helvetica" w:hAnsi="Helvetica" w:eastAsia="Helvetica"/>
                <w:color w:val="0000ff"/>
                <w:sz w:val="29"/>
                <w:szCs w:val="29"/>
                <w:u w:val="single" w:color="0000ff"/>
                <w:rtl w:val="0"/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color w:val="0000ff"/>
                <w:sz w:val="29"/>
                <w:szCs w:val="29"/>
                <w:u w:val="single" w:color="0000ff"/>
                <w:rtl w:val="0"/>
                <w:lang w:val="en-US"/>
              </w:rPr>
              <w:t>https://nrich.maths.org/1249</w:t>
            </w:r>
            <w:r>
              <w:rPr>
                <w:rFonts w:ascii="Helvetica" w:cs="Helvetica" w:hAnsi="Helvetica" w:eastAsia="Helvetica"/>
                <w:sz w:val="29"/>
                <w:szCs w:val="29"/>
                <w:u w:val="single"/>
                <w:rtl w:val="0"/>
              </w:rPr>
              <w:fldChar w:fldCharType="end" w:fldLock="0"/>
            </w:r>
          </w:p>
          <w:p>
            <w:pPr>
              <w:pStyle w:val="Normal (Web)"/>
              <w:spacing w:before="0" w:after="0"/>
            </w:pPr>
            <w:r>
              <w:rPr>
                <w:rFonts w:ascii="Calibri" w:cs="Calibri" w:hAnsi="Calibri" w:eastAsia="Calibri"/>
                <w:sz w:val="22"/>
                <w:szCs w:val="22"/>
              </w:rPr>
            </w:r>
          </w:p>
        </w:tc>
        <w:tc>
          <w:tcPr>
            <w:tcW w:type="dxa" w:w="282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>
                <w:rStyle w:val="None"/>
              </w:rPr>
            </w:pPr>
            <w:r>
              <w:rPr>
                <w:rFonts w:ascii="Calibri" w:cs="Calibri" w:hAnsi="Calibri" w:eastAsia="Calibri"/>
                <w:b w:val="1"/>
                <w:bCs w:val="1"/>
                <w:u w:val="single"/>
                <w:rtl w:val="0"/>
                <w:lang w:val="en-US"/>
              </w:rPr>
              <w:t>Cultural Capital:</w:t>
            </w:r>
            <w:r>
              <w:rPr>
                <w:rtl w:val="0"/>
                <w:lang w:val="en-US"/>
              </w:rPr>
              <w:t>Listen to the following podcast by BB</w:t>
            </w:r>
            <w:r>
              <w:rPr>
                <w:rtl w:val="0"/>
                <w:lang w:val="en-US"/>
              </w:rPr>
              <w:t>C</w:t>
            </w:r>
            <w:r>
              <w:rPr>
                <w:rtl w:val="0"/>
                <w:lang w:val="en-US"/>
              </w:rPr>
              <w:t xml:space="preserve"> Radio 4 on the famous mathematician Carl Friedrich Gauss.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"https://www.bbc.co.uk/programmes/b09gbnfj"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https://www.bbc.co.uk/programmes/b09gbnf</w:t>
            </w:r>
            <w:r>
              <w:rPr/>
              <w:fldChar w:fldCharType="end" w:fldLock="0"/>
            </w:r>
          </w:p>
          <w:p>
            <w:pPr>
              <w:pStyle w:val="No Spacing"/>
              <w:spacing w:after="0" w:line="240" w:lineRule="auto"/>
              <w:rPr>
                <w:rStyle w:val="None"/>
                <w:lang w:val="en-US"/>
              </w:rPr>
            </w:pP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</w:rPr>
            </w:r>
          </w:p>
        </w:tc>
      </w:tr>
      <w:tr>
        <w:tblPrEx>
          <w:shd w:val="clear" w:color="auto" w:fill="cdd4e9"/>
        </w:tblPrEx>
        <w:trPr>
          <w:trHeight w:val="2402" w:hRule="atLeast"/>
        </w:trPr>
        <w:tc>
          <w:tcPr>
            <w:tcW w:type="dxa" w:w="26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0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rStyle w:val="None"/>
                <w:b w:val="1"/>
                <w:bCs w:val="1"/>
              </w:rPr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Numeracy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rtl w:val="0"/>
              </w:rPr>
            </w:pPr>
            <w:r>
              <w:rPr>
                <w:rStyle w:val="None"/>
                <w:rtl w:val="0"/>
                <w:lang w:val="en-US"/>
              </w:rPr>
              <w:t>Product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rtl w:val="0"/>
              </w:rPr>
            </w:pPr>
            <w:r>
              <w:rPr>
                <w:rStyle w:val="None"/>
                <w:rtl w:val="0"/>
                <w:lang w:val="en-US"/>
              </w:rPr>
              <w:t>Sum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rtl w:val="0"/>
              </w:rPr>
            </w:pPr>
            <w:r>
              <w:rPr>
                <w:rStyle w:val="None"/>
                <w:rtl w:val="0"/>
                <w:lang w:val="en-US"/>
              </w:rPr>
              <w:t>Total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rtl w:val="0"/>
              </w:rPr>
            </w:pPr>
            <w:r>
              <w:rPr>
                <w:rStyle w:val="None"/>
                <w:rtl w:val="0"/>
                <w:lang w:val="en-US"/>
              </w:rPr>
              <w:t>Add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rtl w:val="0"/>
              </w:rPr>
            </w:pPr>
            <w:r>
              <w:rPr>
                <w:rStyle w:val="None"/>
                <w:rtl w:val="0"/>
                <w:lang w:val="en-US"/>
              </w:rPr>
              <w:t>Subtract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rtl w:val="0"/>
                <w:lang w:val="en-US"/>
              </w:rPr>
            </w:pPr>
            <w:r>
              <w:rPr>
                <w:rStyle w:val="None"/>
                <w:rtl w:val="0"/>
                <w:lang w:val="en-US"/>
              </w:rPr>
              <w:t>Difference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rtl w:val="0"/>
                <w:lang w:val="en-US"/>
              </w:rPr>
            </w:pPr>
            <w:r>
              <w:rPr>
                <w:rStyle w:val="None"/>
                <w:rtl w:val="0"/>
                <w:lang w:val="en-US"/>
              </w:rPr>
              <w:t>Divide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tl w:val="0"/>
                <w:lang w:val="en-US"/>
              </w:rPr>
              <w:t>Multiply</w:t>
            </w:r>
          </w:p>
        </w:tc>
        <w:tc>
          <w:tcPr>
            <w:tcW w:type="dxa" w:w="19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widowControl w:val="0"/>
        <w:spacing w:line="240" w:lineRule="auto"/>
      </w:pPr>
      <w:r/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