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Year 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  <w:r>
              <w:rPr>
                <w:b w:val="1"/>
                <w:bCs w:val="1"/>
                <w:rtl w:val="0"/>
                <w:lang w:val="en-US"/>
              </w:rPr>
              <w:t xml:space="preserve"> Term </w:t>
            </w:r>
            <w:r>
              <w:rPr>
                <w:b w:val="1"/>
                <w:bCs w:val="1"/>
                <w:rtl w:val="0"/>
                <w:lang w:val="en-US"/>
              </w:rPr>
              <w:t>3.1</w:t>
            </w:r>
            <w:r>
              <w:rPr>
                <w:b w:val="1"/>
                <w:bCs w:val="1"/>
                <w:rtl w:val="0"/>
                <w:lang w:val="en-US"/>
              </w:rPr>
              <w:t xml:space="preserve"> - Maths</w:t>
            </w:r>
          </w:p>
        </w:tc>
        <w:tc>
          <w:tcPr>
            <w:tcW w:type="dxa" w:w="1152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0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Enquiry Question: 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>Can we write a root in index form and vice versa?</w:t>
            </w: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350" w:hRule="atLeast"/>
        </w:trPr>
        <w:tc>
          <w:tcPr>
            <w:tcW w:type="dxa" w:w="156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Unit title: Indices and Roots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Why now?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You have been introduced to square numbers briefly in primary school and in an earlier unit at the start of this year called Integers.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 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In this unit you will learn about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laws of indices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and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roots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. You develop this further with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standard form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later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in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Year 8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and use indices and roots in many topics throughout the time at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LPS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In year 10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you will learn about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irrational numbers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and later you will learn more in depth about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indices and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you will be introduced to </w:t>
            </w: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surds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and their rules. 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Knowledge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Students will know about</w:t>
            </w:r>
            <w:r>
              <w:rPr>
                <w:rFonts w:ascii="Calibri" w:cs="Calibri" w:hAnsi="Calibri" w:eastAsia="Calibri"/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0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Application/Skills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en-US"/>
              </w:rPr>
              <w:t>Students will be able to</w:t>
            </w:r>
            <w:r>
              <w:rPr>
                <w:sz w:val="21"/>
                <w:szCs w:val="21"/>
                <w:rtl w:val="0"/>
                <w:lang w:val="en-US"/>
              </w:rPr>
              <w:t>…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Vocabulary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1"/>
                <w:szCs w:val="21"/>
                <w:rtl w:val="0"/>
                <w:lang w:val="en-US"/>
              </w:rPr>
              <w:t>(Tier 2 and 3)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Home</w:t>
            </w:r>
            <w:r>
              <w:rPr>
                <w:sz w:val="21"/>
                <w:szCs w:val="21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Learning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Assessment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Extra Resources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1"/>
                <w:szCs w:val="21"/>
                <w:rtl w:val="0"/>
                <w:lang w:val="en-US"/>
              </w:rPr>
              <w:t>Extended Reading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Cultural 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Capital</w:t>
            </w:r>
          </w:p>
        </w:tc>
      </w:tr>
      <w:tr>
        <w:tblPrEx>
          <w:shd w:val="clear" w:color="auto" w:fill="cdd4e9"/>
        </w:tblPrEx>
        <w:trPr>
          <w:trHeight w:val="4284" w:hRule="atLeast"/>
        </w:trPr>
        <w:tc>
          <w:tcPr>
            <w:tcW w:type="dxa" w:w="26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Indices and repeated multiplication</w:t>
            </w:r>
          </w:p>
          <w:p>
            <w:pPr>
              <w:pStyle w:val="Body"/>
              <w:spacing w:after="0" w:line="240" w:lineRule="auto"/>
              <w:ind w:left="502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Laws of indices in arithmetic</w:t>
            </w:r>
          </w:p>
          <w:p>
            <w:pPr>
              <w:pStyle w:val="Body"/>
              <w:spacing w:after="0" w:line="240" w:lineRule="auto"/>
              <w:ind w:left="502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Generalising to laws of indices with algebra</w:t>
            </w:r>
          </w:p>
          <w:p>
            <w:pPr>
              <w:pStyle w:val="Body"/>
              <w:spacing w:after="0" w:line="240" w:lineRule="auto"/>
              <w:ind w:left="502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What do 0 and negative indices mean?</w:t>
            </w:r>
          </w:p>
          <w:p>
            <w:pPr>
              <w:pStyle w:val="Body"/>
              <w:spacing w:after="0" w:line="240" w:lineRule="auto"/>
              <w:ind w:left="502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Why are fractional indices connected to square and other roots?</w:t>
            </w:r>
          </w:p>
          <w:p>
            <w:pPr>
              <w:pStyle w:val="Body"/>
              <w:spacing w:after="0" w:line="240" w:lineRule="auto"/>
              <w:ind w:left="502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From Arabic to Latin to English- the history of roots</w:t>
            </w:r>
          </w:p>
          <w:p>
            <w:pPr>
              <w:pStyle w:val="Body"/>
              <w:spacing w:after="0" w:line="240" w:lineRule="auto"/>
              <w:ind w:left="502" w:firstLine="0"/>
              <w:rPr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Euclid and the idea of ratio</w:t>
            </w:r>
            <w:r>
              <w:rPr/>
            </w:r>
          </w:p>
        </w:tc>
        <w:tc>
          <w:tcPr>
            <w:tcW w:type="dxa" w:w="200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Define and use key mathematical language.</w:t>
            </w:r>
          </w:p>
          <w:p>
            <w:pPr>
              <w:pStyle w:val="List Paragraph"/>
              <w:ind w:left="360" w:firstLine="0"/>
              <w:rPr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Convert between numbers in ordinary form and index form.</w:t>
            </w:r>
          </w:p>
          <w:p>
            <w:pPr>
              <w:pStyle w:val="List Paragraph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Secure fluency with numbers in index form. </w:t>
            </w:r>
          </w:p>
          <w:p>
            <w:pPr>
              <w:pStyle w:val="List Paragraph"/>
              <w:ind w:left="360" w:firstLine="0"/>
              <w:rPr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Reason with roots and indices. 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  <w:i w:val="1"/>
                <w:iCs w:val="1"/>
                <w:u w:val="single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2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Power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Vice versa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Inverses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Estimate</w:t>
            </w:r>
          </w:p>
          <w:p>
            <w:pPr>
              <w:pStyle w:val="No Spacing"/>
              <w:spacing w:after="0" w:line="240" w:lineRule="auto"/>
              <w:jc w:val="center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u w:val="single"/>
                <w:rtl w:val="0"/>
              </w:rPr>
            </w:pP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Tier 3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Indices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Roots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Squares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Disprove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Counterexample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Base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Coefficient </w:t>
            </w:r>
            <w:r>
              <w:rPr/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Pre-classroom: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Pre-lesson tasks on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google classroom</w:t>
            </w:r>
            <w:r>
              <w:rPr>
                <w:rtl w:val="0"/>
                <w:lang w:val="en-US"/>
              </w:rPr>
              <w:t xml:space="preserve"> to get you thinking.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Diagnostic questions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Post-Classroom: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Post lessons online tasks: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My Maths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Google Form Quizzes</w:t>
            </w:r>
          </w:p>
          <w:p>
            <w:pPr>
              <w:pStyle w:val="No Spacing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Independent learning notes</w:t>
            </w:r>
            <w:r>
              <w:rPr/>
            </w:r>
          </w:p>
        </w:tc>
        <w:tc>
          <w:tcPr>
            <w:tcW w:type="dxa" w:w="18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Formative assessment at the end of the units in their LPS books. 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This will be a combination of students presenting what they know in a creative way followed by some differentiated questions.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Summative Assessment at the end of T</w:t>
            </w:r>
            <w:r>
              <w:rPr>
                <w:rtl w:val="0"/>
                <w:lang w:val="en-US"/>
              </w:rPr>
              <w:t>4</w:t>
            </w:r>
            <w:r>
              <w:rPr>
                <w:rtl w:val="0"/>
                <w:lang w:val="en-US"/>
              </w:rPr>
              <w:t xml:space="preserve">.  </w:t>
            </w:r>
            <w:r>
              <w:rPr/>
            </w:r>
          </w:p>
        </w:tc>
        <w:tc>
          <w:tcPr>
            <w:tcW w:type="dxa" w:w="21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Enrichment: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Explore Euler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 Number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a) Explore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Logarithms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and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John Napier.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b) Explore the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graphs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of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exponential functions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c) Explore other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transcendental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numbers</w:t>
            </w:r>
          </w:p>
        </w:tc>
        <w:tc>
          <w:tcPr>
            <w:tcW w:type="dxa" w:w="28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rPr/>
            </w:pPr>
            <w:r>
              <w:rPr>
                <w:rFonts w:ascii="Calibri" w:cs="Calibri" w:hAnsi="Calibri" w:eastAsia="Calibri"/>
                <w:b w:val="1"/>
                <w:bCs w:val="1"/>
                <w:u w:val="single"/>
                <w:rtl w:val="0"/>
                <w:lang w:val="en-US"/>
              </w:rPr>
              <w:t>Cultural Capital:</w:t>
            </w: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spacing w:after="0" w:line="240" w:lineRule="auto"/>
              <w:rPr>
                <w:lang w:val="en-US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The Winton Gallery at the Science Museum allows students to explore the stories of famous mathematicians and uncover how their contributions have shaped the course of history. </w:t>
            </w:r>
            <w:r>
              <w:rPr>
                <w:rStyle w:val="Hyperlink.0"/>
                <w:lang w:val="en-US"/>
              </w:rPr>
              <w:fldChar w:fldCharType="begin" w:fldLock="0"/>
            </w:r>
            <w:r>
              <w:rPr>
                <w:rStyle w:val="Hyperlink.0"/>
                <w:lang w:val="en-US"/>
              </w:rPr>
              <w:instrText xml:space="preserve"> HYPERLINK "https://www.sciencemuseum.org.uk/learning/mathematics-winton-gallery-school-info"</w:instrText>
            </w:r>
            <w:r>
              <w:rPr>
                <w:rStyle w:val="Hyperlink.0"/>
                <w:lang w:val="en-US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https://www.sciencemuseum.org.uk/learning/mathematics-winton-gallery-school-info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250" w:hRule="atLeast"/>
        </w:trPr>
        <w:tc>
          <w:tcPr>
            <w:tcW w:type="dxa" w:w="26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0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Numeracy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Product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Sum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Total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Add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Subtract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Difference</w:t>
            </w:r>
          </w:p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02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02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02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02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02"/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02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02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02"/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