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56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89"/>
        <w:gridCol w:w="1403"/>
        <w:gridCol w:w="598"/>
        <w:gridCol w:w="2109"/>
        <w:gridCol w:w="1985"/>
        <w:gridCol w:w="1865"/>
        <w:gridCol w:w="2137"/>
        <w:gridCol w:w="282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0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 xml:space="preserve">Year </w:t>
            </w:r>
            <w:r>
              <w:rPr>
                <w:b w:val="1"/>
                <w:bCs w:val="1"/>
                <w:rtl w:val="0"/>
                <w:lang w:val="en-US"/>
              </w:rPr>
              <w:t>8</w:t>
            </w:r>
            <w:r>
              <w:rPr>
                <w:b w:val="1"/>
                <w:bCs w:val="1"/>
                <w:rtl w:val="0"/>
                <w:lang w:val="en-US"/>
              </w:rPr>
              <w:t xml:space="preserve"> Term </w:t>
            </w:r>
            <w:r>
              <w:rPr>
                <w:b w:val="1"/>
                <w:bCs w:val="1"/>
                <w:rtl w:val="0"/>
                <w:lang w:val="en-US"/>
              </w:rPr>
              <w:t>5.2</w:t>
            </w:r>
            <w:r>
              <w:rPr>
                <w:b w:val="1"/>
                <w:bCs w:val="1"/>
                <w:rtl w:val="0"/>
                <w:lang w:val="en-US"/>
              </w:rPr>
              <w:t xml:space="preserve"> - Maths</w:t>
            </w:r>
          </w:p>
        </w:tc>
        <w:tc>
          <w:tcPr>
            <w:tcW w:type="dxa" w:w="1152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70" w:hRule="atLeast"/>
        </w:trPr>
        <w:tc>
          <w:tcPr>
            <w:tcW w:type="dxa" w:w="1561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b w:val="1"/>
                <w:bCs w:val="1"/>
                <w:sz w:val="40"/>
                <w:szCs w:val="40"/>
                <w:rtl w:val="0"/>
                <w:lang w:val="en-US"/>
              </w:rPr>
              <w:t xml:space="preserve">Enquiry Question: </w:t>
            </w: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en-US"/>
              </w:rPr>
              <w:t>When is a line not a line</w:t>
            </w: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en-US"/>
              </w:rPr>
              <w:t>?</w:t>
            </w:r>
            <w:r>
              <w:rPr>
                <w:rFonts w:ascii="Arial" w:hAnsi="Arial" w:hint="default"/>
                <w:b w:val="0"/>
                <w:bCs w:val="0"/>
                <w:sz w:val="32"/>
                <w:szCs w:val="3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077" w:hRule="atLeast"/>
        </w:trPr>
        <w:tc>
          <w:tcPr>
            <w:tcW w:type="dxa" w:w="1561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b w:val="1"/>
                <w:bCs w:val="1"/>
                <w:sz w:val="32"/>
                <w:szCs w:val="32"/>
              </w:rPr>
            </w:pP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Unit title: 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Geometric Reasoning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Why now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Reasoning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in mathematics is an especially important skill and one which is applied in many areas. You first developed this skill during your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proportional reasoning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unit in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Year 7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and later will reason when working on further algebraic and geometric topics you meet in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Year 9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and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Year 10. </w:t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Knowledge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1"/>
                <w:szCs w:val="21"/>
                <w:rtl w:val="0"/>
                <w:lang w:val="en-US"/>
              </w:rPr>
              <w:t>Students will know about</w:t>
            </w:r>
            <w:r>
              <w:rPr>
                <w:rFonts w:ascii="Calibri" w:cs="Calibri" w:hAnsi="Calibri" w:eastAsia="Calibri"/>
                <w:b w:val="0"/>
                <w:bCs w:val="0"/>
                <w:sz w:val="21"/>
                <w:szCs w:val="21"/>
                <w:rtl w:val="0"/>
                <w:lang w:val="en-US"/>
              </w:rPr>
              <w:t>…</w:t>
            </w:r>
          </w:p>
        </w:tc>
        <w:tc>
          <w:tcPr>
            <w:tcW w:type="dxa" w:w="20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Application/Skills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1"/>
                <w:szCs w:val="21"/>
                <w:rtl w:val="0"/>
                <w:lang w:val="en-US"/>
              </w:rPr>
              <w:t>Students will be able to</w:t>
            </w:r>
            <w:r>
              <w:rPr>
                <w:sz w:val="21"/>
                <w:szCs w:val="21"/>
                <w:rtl w:val="0"/>
                <w:lang w:val="en-US"/>
              </w:rPr>
              <w:t>…</w:t>
            </w:r>
          </w:p>
        </w:tc>
        <w:tc>
          <w:tcPr>
            <w:tcW w:type="dxa" w:w="2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Vocabulary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21"/>
                <w:szCs w:val="21"/>
                <w:rtl w:val="0"/>
                <w:lang w:val="en-US"/>
              </w:rPr>
              <w:t>(Tier 2 and 3)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Home</w:t>
            </w:r>
            <w:r>
              <w:rPr>
                <w:sz w:val="21"/>
                <w:szCs w:val="21"/>
                <w:rtl w:val="0"/>
                <w:lang w:val="en-US"/>
              </w:rPr>
              <w:t xml:space="preserve"> 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Learning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Assessment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Extra Resources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Extended Reading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Cultural 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Capital</w:t>
            </w:r>
          </w:p>
        </w:tc>
      </w:tr>
      <w:tr>
        <w:tblPrEx>
          <w:shd w:val="clear" w:color="auto" w:fill="cdd4e9"/>
        </w:tblPrEx>
        <w:trPr>
          <w:trHeight w:val="7030" w:hRule="atLeast"/>
        </w:trPr>
        <w:tc>
          <w:tcPr>
            <w:tcW w:type="dxa" w:w="26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What distance is and how to measure it</w:t>
            </w:r>
          </w:p>
          <w:p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What an angle is and how to classify and measure them</w:t>
            </w:r>
          </w:p>
          <w:p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What parallel means</w:t>
            </w:r>
          </w:p>
          <w:p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What translation means and vector notation</w:t>
            </w:r>
          </w:p>
          <w:p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Types of angles formed in parallel lines</w:t>
            </w:r>
          </w:p>
          <w:p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What a mathematical proof means</w:t>
            </w:r>
          </w:p>
          <w:p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Angle facts about straight lines, triangles and some polygons</w:t>
            </w:r>
          </w:p>
          <w:p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The history of measuring angles in different ways</w:t>
            </w:r>
          </w:p>
        </w:tc>
        <w:tc>
          <w:tcPr>
            <w:tcW w:type="dxa" w:w="200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Measure distances accurately</w:t>
            </w:r>
          </w:p>
          <w:p>
            <w:pPr>
              <w:pStyle w:val="List 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Draw, classify and measure angles accurately</w:t>
            </w:r>
          </w:p>
          <w:p>
            <w:pPr>
              <w:pStyle w:val="List 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Represent translations using vector notation</w:t>
            </w:r>
          </w:p>
          <w:p>
            <w:pPr>
              <w:pStyle w:val="List 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Describe a rotation correctly</w:t>
            </w:r>
          </w:p>
          <w:p>
            <w:pPr>
              <w:pStyle w:val="List 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Construct logical arguments to justify angle facts about straight lines, triangles and some polygons</w:t>
            </w:r>
          </w:p>
        </w:tc>
        <w:tc>
          <w:tcPr>
            <w:tcW w:type="dxa" w:w="2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i w:val="1"/>
                <w:iCs w:val="1"/>
                <w:u w:val="single"/>
              </w:rPr>
            </w:pPr>
            <w:r>
              <w:rPr>
                <w:b w:val="1"/>
                <w:bCs w:val="1"/>
                <w:i w:val="1"/>
                <w:iCs w:val="1"/>
                <w:u w:val="single"/>
                <w:rtl w:val="0"/>
                <w:lang w:val="en-US"/>
              </w:rPr>
              <w:t>Tier 2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Reason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Deduce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Turn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Clockwise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Anti-clockwise</w:t>
            </w:r>
          </w:p>
          <w:p>
            <w:pPr>
              <w:pStyle w:val="No Spacing"/>
              <w:spacing w:after="0" w:line="240" w:lineRule="auto"/>
              <w:jc w:val="center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u w:val="single"/>
                <w:rtl w:val="0"/>
                <w:lang w:val="en-US"/>
              </w:rPr>
            </w:pPr>
            <w:r>
              <w:rPr>
                <w:b w:val="1"/>
                <w:bCs w:val="1"/>
                <w:i w:val="1"/>
                <w:iCs w:val="1"/>
                <w:u w:val="single"/>
                <w:rtl w:val="0"/>
                <w:lang w:val="en-US"/>
              </w:rPr>
              <w:t>Tier 3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Angle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Acute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Obtuse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Reflex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Line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Ray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Line Segment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Translate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Vector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Rotation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Protractor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Parallel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Transversal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Corresponding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Alternate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Supplementary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Triangle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Interior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Polygon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Algorithm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Proof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/>
            </w:r>
          </w:p>
        </w:tc>
        <w:tc>
          <w:tcPr>
            <w:tcW w:type="dxa" w:w="19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en-US"/>
              </w:rPr>
              <w:t>Pre-classroom: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Pre-lesson tasks on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google classroom</w:t>
            </w:r>
            <w:r>
              <w:rPr>
                <w:rtl w:val="0"/>
                <w:lang w:val="en-US"/>
              </w:rPr>
              <w:t xml:space="preserve"> to get you thinking.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Diagnostic questions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u w:val="single"/>
                <w:rtl w:val="0"/>
              </w:rPr>
            </w:pPr>
            <w:r>
              <w:rPr>
                <w:b w:val="1"/>
                <w:bCs w:val="1"/>
                <w:u w:val="single"/>
                <w:rtl w:val="0"/>
                <w:lang w:val="en-US"/>
              </w:rPr>
              <w:t>Post-Classroom: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Post lessons online tasks: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My Maths</w:t>
            </w:r>
          </w:p>
          <w:p>
            <w:pPr>
              <w:pStyle w:val="No Spacing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Google Form Quizzes</w:t>
            </w:r>
          </w:p>
          <w:p>
            <w:pPr>
              <w:pStyle w:val="No Spacing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Independent learning notes</w:t>
            </w:r>
            <w:r>
              <w:rPr/>
            </w:r>
          </w:p>
        </w:tc>
        <w:tc>
          <w:tcPr>
            <w:tcW w:type="dxa" w:w="18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Formative assessment at the end of the units in their LPS books.  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This will be a combination of students presenting what they know in a creative way followed by some differentiated questions. 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Summative Assessment at the end of T</w:t>
            </w:r>
            <w:r>
              <w:rPr>
                <w:rtl w:val="0"/>
                <w:lang w:val="en-US"/>
              </w:rPr>
              <w:t>6</w:t>
            </w:r>
            <w:r>
              <w:rPr>
                <w:rtl w:val="0"/>
                <w:lang w:val="en-US"/>
              </w:rPr>
              <w:t xml:space="preserve">.  </w:t>
            </w:r>
            <w:r>
              <w:rPr/>
            </w:r>
          </w:p>
        </w:tc>
        <w:tc>
          <w:tcPr>
            <w:tcW w:type="dxa" w:w="21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Enrichment: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Explore the Babylonians</w:t>
            </w:r>
          </w:p>
          <w:p>
            <w:pPr>
              <w:pStyle w:val="Normal (Web)"/>
              <w:spacing w:before="0" w:after="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 (Web)"/>
              <w:spacing w:before="0" w:after="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1.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Explore who the Babylonians wer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e.</w:t>
            </w:r>
          </w:p>
          <w:p>
            <w:pPr>
              <w:pStyle w:val="Normal (Web)"/>
              <w:spacing w:before="0" w:after="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 (Web)"/>
              <w:spacing w:before="0" w:after="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2.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Explore their number system and why they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chose 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t.</w:t>
            </w:r>
          </w:p>
          <w:p>
            <w:pPr>
              <w:pStyle w:val="Normal (Web)"/>
              <w:spacing w:before="0" w:after="0"/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Normal (Web)"/>
              <w:spacing w:before="0" w:after="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 3.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Explore other </w:t>
            </w:r>
          </w:p>
          <w:p>
            <w:pPr>
              <w:pStyle w:val="Normal (Web)"/>
              <w:spacing w:before="0" w:after="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forms of measuring angles apart from degrees</w:t>
            </w:r>
            <w:r>
              <w:rPr>
                <w:rFonts w:ascii="Calibri" w:cs="Calibri" w:hAnsi="Calibri" w:eastAsia="Calibri"/>
                <w:sz w:val="22"/>
                <w:szCs w:val="22"/>
              </w:rPr>
              <w:br w:type="textWrapping"/>
            </w:r>
          </w:p>
          <w:p>
            <w:pPr>
              <w:pStyle w:val="Normal (Web)"/>
              <w:spacing w:before="0" w:after="0"/>
            </w:pP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282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/>
            </w:pPr>
            <w:r>
              <w:rPr>
                <w:rFonts w:ascii="Calibri" w:cs="Calibri" w:hAnsi="Calibri" w:eastAsia="Calibri"/>
                <w:b w:val="1"/>
                <w:bCs w:val="1"/>
                <w:u w:val="single"/>
                <w:rtl w:val="0"/>
                <w:lang w:val="en-US"/>
              </w:rPr>
              <w:t>Cultural Capital:</w:t>
            </w:r>
            <w:r>
              <w:rPr>
                <w:rtl w:val="0"/>
                <w:lang w:val="en-US"/>
              </w:rPr>
              <w:t xml:space="preserve"> </w:t>
            </w:r>
          </w:p>
          <w:p>
            <w:pPr>
              <w:pStyle w:val="Default"/>
              <w:bidi w:val="0"/>
              <w:spacing w:line="3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32"/>
                <w:szCs w:val="32"/>
                <w:rtl w:val="0"/>
                <w:lang w:val="en-US"/>
              </w:rPr>
              <w:t>Visit</w:t>
            </w:r>
            <w:r>
              <w:rPr>
                <w:rFonts w:ascii="Times" w:hAnsi="Times"/>
                <w:b w:val="1"/>
                <w:bCs w:val="1"/>
                <w:sz w:val="32"/>
                <w:szCs w:val="32"/>
                <w:u w:val="single"/>
                <w:rtl w:val="0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  <w:rtl w:val="0"/>
                <w:lang w:val="en-US"/>
              </w:rPr>
              <w:t>the Tate and go view artwork by the artist Piet Mondrian. How does this connect to this unit of work?</w:t>
            </w:r>
            <w:r>
              <w:rPr>
                <w:rFonts w:ascii="Times" w:hAnsi="Times" w:hint="default"/>
                <w:sz w:val="32"/>
                <w:szCs w:val="32"/>
                <w:rtl w:val="0"/>
              </w:rPr>
              <w:t> </w:t>
            </w:r>
            <w:r>
              <w:rPr>
                <w:rFonts w:ascii="Times" w:cs="Times" w:hAnsi="Times" w:eastAsia="Times"/>
                <w:sz w:val="24"/>
                <w:szCs w:val="24"/>
                <w:rtl w:val="0"/>
              </w:rPr>
            </w:r>
          </w:p>
        </w:tc>
      </w:tr>
      <w:tr>
        <w:tblPrEx>
          <w:shd w:val="clear" w:color="auto" w:fill="cdd4e9"/>
        </w:tblPrEx>
        <w:trPr>
          <w:trHeight w:val="1499" w:hRule="atLeast"/>
        </w:trPr>
        <w:tc>
          <w:tcPr>
            <w:tcW w:type="dxa" w:w="26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0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Numeracy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Sum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Remainder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Subtract</w:t>
            </w:r>
          </w:p>
        </w:tc>
        <w:tc>
          <w:tcPr>
            <w:tcW w:type="dxa" w:w="19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02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02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02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02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02"/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02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02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02"/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