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528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22"/>
        <w:gridCol w:w="1782"/>
        <w:gridCol w:w="585"/>
        <w:gridCol w:w="2294"/>
        <w:gridCol w:w="1711"/>
        <w:gridCol w:w="1825"/>
        <w:gridCol w:w="2091"/>
        <w:gridCol w:w="2772"/>
      </w:tblGrid>
      <w:tr w:rsidR="006C33A0" w:rsidRPr="002736FD">
        <w:trPr>
          <w:trHeight w:val="300"/>
        </w:trPr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3A0" w:rsidRPr="002736FD" w:rsidRDefault="000F4032">
            <w:pPr>
              <w:pStyle w:val="NoSpacing"/>
              <w:spacing w:after="0" w:line="240" w:lineRule="auto"/>
            </w:pPr>
            <w:r w:rsidRPr="002736FD">
              <w:rPr>
                <w:b/>
                <w:bCs/>
              </w:rPr>
              <w:t>Year 8 Term 1.1 - Maths</w:t>
            </w:r>
          </w:p>
        </w:tc>
        <w:tc>
          <w:tcPr>
            <w:tcW w:w="1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3A0" w:rsidRPr="002736FD" w:rsidRDefault="006C33A0">
            <w:pPr>
              <w:rPr>
                <w:rFonts w:ascii="Calibri" w:hAnsi="Calibri" w:cs="Calibri"/>
              </w:rPr>
            </w:pPr>
          </w:p>
        </w:tc>
      </w:tr>
      <w:tr w:rsidR="006C33A0" w:rsidRPr="002736FD">
        <w:trPr>
          <w:trHeight w:val="480"/>
        </w:trPr>
        <w:tc>
          <w:tcPr>
            <w:tcW w:w="15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3A0" w:rsidRPr="002736FD" w:rsidRDefault="000F4032">
            <w:pPr>
              <w:pStyle w:val="NoSpacing"/>
              <w:spacing w:after="0" w:line="240" w:lineRule="auto"/>
            </w:pPr>
            <w:r w:rsidRPr="002736FD">
              <w:rPr>
                <w:b/>
                <w:bCs/>
                <w:sz w:val="40"/>
                <w:szCs w:val="40"/>
              </w:rPr>
              <w:t>Enquiry Question:</w:t>
            </w:r>
            <w:r w:rsidR="000E15CE" w:rsidRPr="002736FD">
              <w:rPr>
                <w:b/>
                <w:bCs/>
                <w:sz w:val="40"/>
                <w:szCs w:val="40"/>
              </w:rPr>
              <w:t xml:space="preserve"> </w:t>
            </w:r>
            <w:r w:rsidRPr="002736FD">
              <w:rPr>
                <w:b/>
                <w:bCs/>
                <w:sz w:val="40"/>
                <w:szCs w:val="40"/>
              </w:rPr>
              <w:t>Where do the units we use come from</w:t>
            </w:r>
            <w:r w:rsidRPr="002736FD">
              <w:rPr>
                <w:b/>
                <w:bCs/>
                <w:sz w:val="32"/>
                <w:szCs w:val="32"/>
              </w:rPr>
              <w:t xml:space="preserve">? </w:t>
            </w:r>
          </w:p>
        </w:tc>
      </w:tr>
      <w:tr w:rsidR="006C33A0" w:rsidRPr="002736FD" w:rsidTr="000E15CE">
        <w:trPr>
          <w:trHeight w:val="1071"/>
        </w:trPr>
        <w:tc>
          <w:tcPr>
            <w:tcW w:w="15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3A0" w:rsidRPr="002736FD" w:rsidRDefault="000F4032">
            <w:pPr>
              <w:pStyle w:val="NoSpacing"/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2736FD">
              <w:rPr>
                <w:b/>
                <w:bCs/>
                <w:sz w:val="32"/>
                <w:szCs w:val="32"/>
              </w:rPr>
              <w:t xml:space="preserve">Unit title: Measuring the World </w:t>
            </w:r>
          </w:p>
          <w:p w:rsidR="006C33A0" w:rsidRPr="002736FD" w:rsidRDefault="000F4032">
            <w:pPr>
              <w:pStyle w:val="NoSpacing"/>
              <w:spacing w:after="0" w:line="240" w:lineRule="auto"/>
            </w:pPr>
            <w:r w:rsidRPr="002736FD">
              <w:rPr>
                <w:b/>
                <w:bCs/>
                <w:sz w:val="21"/>
                <w:szCs w:val="21"/>
              </w:rPr>
              <w:t>Why now</w:t>
            </w:r>
            <w:r w:rsidR="000E15CE" w:rsidRPr="002736FD">
              <w:rPr>
                <w:b/>
                <w:bCs/>
                <w:sz w:val="21"/>
                <w:szCs w:val="21"/>
              </w:rPr>
              <w:t xml:space="preserve">: </w:t>
            </w:r>
            <w:r w:rsidRPr="002736FD">
              <w:rPr>
                <w:b/>
                <w:bCs/>
                <w:sz w:val="21"/>
                <w:szCs w:val="21"/>
              </w:rPr>
              <w:t xml:space="preserve"> </w:t>
            </w:r>
            <w:r w:rsidRPr="002736FD">
              <w:rPr>
                <w:bCs/>
                <w:sz w:val="21"/>
                <w:szCs w:val="21"/>
              </w:rPr>
              <w:t xml:space="preserve">This unit of work builds on ideas about proportion you first learn about in Proportional reasoning in Year 7 and applies this to </w:t>
            </w:r>
            <w:r w:rsidRPr="002736FD">
              <w:rPr>
                <w:bCs/>
                <w:sz w:val="21"/>
                <w:szCs w:val="21"/>
              </w:rPr>
              <w:t>the idea of units of measurement. In this unit, you look at conversion and operations of metric and imperial units first learnt in primary school. This sets up a visual understanding when you continue to area and perimeter later this year and using units i</w:t>
            </w:r>
            <w:r w:rsidRPr="002736FD">
              <w:rPr>
                <w:bCs/>
                <w:sz w:val="21"/>
                <w:szCs w:val="21"/>
              </w:rPr>
              <w:t>n almost all your secondary mathematical education at Langdon Park School. You will also learn about the historical development of units of measurement, in particular the metric system.</w:t>
            </w:r>
          </w:p>
        </w:tc>
      </w:tr>
      <w:tr w:rsidR="006C33A0" w:rsidRPr="002736FD">
        <w:trPr>
          <w:trHeight w:val="740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2736FD">
              <w:rPr>
                <w:b/>
                <w:bCs/>
                <w:sz w:val="21"/>
                <w:szCs w:val="21"/>
              </w:rPr>
              <w:t>Knowledge</w:t>
            </w:r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</w:pPr>
            <w:r w:rsidRPr="002736FD">
              <w:rPr>
                <w:sz w:val="21"/>
                <w:szCs w:val="21"/>
              </w:rPr>
              <w:t>Students will know about…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2736FD">
              <w:rPr>
                <w:b/>
                <w:bCs/>
                <w:sz w:val="21"/>
                <w:szCs w:val="21"/>
              </w:rPr>
              <w:t>Application/Skills</w:t>
            </w:r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</w:pPr>
            <w:r w:rsidRPr="002736FD">
              <w:rPr>
                <w:sz w:val="21"/>
                <w:szCs w:val="21"/>
              </w:rPr>
              <w:t xml:space="preserve">Students will </w:t>
            </w:r>
            <w:r w:rsidRPr="002736FD">
              <w:rPr>
                <w:sz w:val="21"/>
                <w:szCs w:val="21"/>
              </w:rPr>
              <w:t>be able to…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2736FD">
              <w:rPr>
                <w:b/>
                <w:bCs/>
                <w:sz w:val="21"/>
                <w:szCs w:val="21"/>
              </w:rPr>
              <w:t>Vocabulary</w:t>
            </w:r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</w:pPr>
            <w:r w:rsidRPr="002736FD">
              <w:rPr>
                <w:i/>
                <w:iCs/>
                <w:sz w:val="21"/>
                <w:szCs w:val="21"/>
              </w:rPr>
              <w:t>(Tier 2 and 3)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sz w:val="21"/>
                <w:szCs w:val="21"/>
              </w:rPr>
            </w:pPr>
            <w:r w:rsidRPr="002736FD">
              <w:rPr>
                <w:b/>
                <w:bCs/>
                <w:sz w:val="21"/>
                <w:szCs w:val="21"/>
              </w:rPr>
              <w:t>Home</w:t>
            </w:r>
            <w:r w:rsidRPr="002736FD">
              <w:rPr>
                <w:sz w:val="21"/>
                <w:szCs w:val="21"/>
              </w:rPr>
              <w:t xml:space="preserve"> </w:t>
            </w:r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</w:pPr>
            <w:r w:rsidRPr="002736FD">
              <w:rPr>
                <w:b/>
                <w:bCs/>
                <w:sz w:val="21"/>
                <w:szCs w:val="21"/>
              </w:rPr>
              <w:t>Learning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3A0" w:rsidRPr="002736FD" w:rsidRDefault="000F4032">
            <w:pPr>
              <w:pStyle w:val="NoSpacing"/>
              <w:spacing w:after="0" w:line="240" w:lineRule="auto"/>
              <w:jc w:val="center"/>
            </w:pPr>
            <w:r w:rsidRPr="002736FD">
              <w:rPr>
                <w:b/>
                <w:bCs/>
                <w:sz w:val="21"/>
                <w:szCs w:val="21"/>
              </w:rPr>
              <w:t>Assessme</w:t>
            </w:r>
            <w:r w:rsidR="004D76DB" w:rsidRPr="002736FD">
              <w:rPr>
                <w:b/>
                <w:bCs/>
                <w:sz w:val="21"/>
                <w:szCs w:val="21"/>
              </w:rPr>
              <w:t>n</w:t>
            </w:r>
            <w:r w:rsidRPr="002736FD">
              <w:rPr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2736FD">
              <w:rPr>
                <w:b/>
                <w:bCs/>
                <w:sz w:val="21"/>
                <w:szCs w:val="21"/>
              </w:rPr>
              <w:t>Extra Resources</w:t>
            </w:r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</w:pPr>
            <w:r w:rsidRPr="002736FD">
              <w:rPr>
                <w:b/>
                <w:bCs/>
                <w:sz w:val="21"/>
                <w:szCs w:val="21"/>
              </w:rPr>
              <w:t>Extended Reading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2736FD">
              <w:rPr>
                <w:b/>
                <w:bCs/>
                <w:sz w:val="21"/>
                <w:szCs w:val="21"/>
              </w:rPr>
              <w:t xml:space="preserve">Cultural </w:t>
            </w:r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</w:pPr>
            <w:r w:rsidRPr="002736FD">
              <w:rPr>
                <w:b/>
                <w:bCs/>
                <w:sz w:val="21"/>
                <w:szCs w:val="21"/>
              </w:rPr>
              <w:t>Capital</w:t>
            </w:r>
          </w:p>
        </w:tc>
      </w:tr>
      <w:tr w:rsidR="006C33A0" w:rsidRPr="002736FD">
        <w:trPr>
          <w:trHeight w:val="6460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3A0" w:rsidRPr="002736FD" w:rsidRDefault="000F4032">
            <w:pPr>
              <w:pStyle w:val="NoSpacing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2736FD">
              <w:rPr>
                <w:sz w:val="20"/>
                <w:szCs w:val="20"/>
              </w:rPr>
              <w:lastRenderedPageBreak/>
              <w:t>The historical development of different units of measurement.</w:t>
            </w:r>
          </w:p>
          <w:p w:rsidR="006C33A0" w:rsidRPr="002736FD" w:rsidRDefault="000F4032">
            <w:pPr>
              <w:pStyle w:val="NoSpacing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2736FD">
              <w:rPr>
                <w:sz w:val="20"/>
                <w:szCs w:val="20"/>
              </w:rPr>
              <w:t>The origin and basis of the metric system of units.</w:t>
            </w:r>
          </w:p>
          <w:p w:rsidR="006C33A0" w:rsidRPr="002736FD" w:rsidRDefault="000F4032">
            <w:pPr>
              <w:pStyle w:val="NoSpacing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2736FD">
              <w:rPr>
                <w:sz w:val="20"/>
                <w:szCs w:val="20"/>
              </w:rPr>
              <w:t xml:space="preserve">The units of the Imperial </w:t>
            </w:r>
            <w:r w:rsidRPr="002736FD">
              <w:rPr>
                <w:sz w:val="20"/>
                <w:szCs w:val="20"/>
              </w:rPr>
              <w:t>system.</w:t>
            </w:r>
          </w:p>
          <w:p w:rsidR="006C33A0" w:rsidRPr="002736FD" w:rsidRDefault="000F4032">
            <w:pPr>
              <w:pStyle w:val="NoSpacing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2736FD">
              <w:rPr>
                <w:sz w:val="20"/>
                <w:szCs w:val="20"/>
              </w:rPr>
              <w:t>The multiplicative</w:t>
            </w:r>
            <w:r w:rsidRPr="002736FD">
              <w:rPr>
                <w:sz w:val="20"/>
                <w:szCs w:val="20"/>
              </w:rPr>
              <w:t xml:space="preserve"> nature of conversions between different units within any system and between different systems.</w:t>
            </w:r>
          </w:p>
          <w:p w:rsidR="006C33A0" w:rsidRPr="002736FD" w:rsidRDefault="000F4032">
            <w:pPr>
              <w:pStyle w:val="NoSpacing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2736FD">
              <w:rPr>
                <w:sz w:val="20"/>
                <w:szCs w:val="20"/>
              </w:rPr>
              <w:t>How time is measured and how to convert between different units of time.</w:t>
            </w:r>
          </w:p>
          <w:p w:rsidR="006C33A0" w:rsidRPr="002736FD" w:rsidRDefault="006C33A0">
            <w:pPr>
              <w:pStyle w:val="NoSpacing"/>
              <w:spacing w:after="0" w:line="240" w:lineRule="auto"/>
              <w:ind w:left="283"/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3A0" w:rsidRPr="002736FD" w:rsidRDefault="006C33A0">
            <w:pPr>
              <w:pStyle w:val="ListParagraph"/>
              <w:rPr>
                <w:sz w:val="20"/>
                <w:szCs w:val="20"/>
              </w:rPr>
            </w:pPr>
          </w:p>
          <w:p w:rsidR="006C33A0" w:rsidRPr="002736FD" w:rsidRDefault="000F403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36FD">
              <w:rPr>
                <w:sz w:val="20"/>
                <w:szCs w:val="20"/>
              </w:rPr>
              <w:t xml:space="preserve">Convert between different metric units of length, mass and </w:t>
            </w:r>
            <w:r w:rsidRPr="002736FD">
              <w:rPr>
                <w:sz w:val="20"/>
                <w:szCs w:val="20"/>
              </w:rPr>
              <w:t>capacity.</w:t>
            </w:r>
          </w:p>
          <w:p w:rsidR="006C33A0" w:rsidRPr="002736FD" w:rsidRDefault="000F403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2736FD">
              <w:rPr>
                <w:sz w:val="20"/>
                <w:szCs w:val="20"/>
              </w:rPr>
              <w:t>Re</w:t>
            </w:r>
            <w:bookmarkStart w:id="0" w:name="_GoBack"/>
            <w:bookmarkEnd w:id="0"/>
            <w:r w:rsidRPr="002736FD">
              <w:rPr>
                <w:sz w:val="20"/>
                <w:szCs w:val="20"/>
              </w:rPr>
              <w:t>cognise</w:t>
            </w:r>
            <w:proofErr w:type="spellEnd"/>
            <w:r w:rsidRPr="002736FD">
              <w:rPr>
                <w:sz w:val="20"/>
                <w:szCs w:val="20"/>
              </w:rPr>
              <w:t xml:space="preserve"> the prefixes used in the metric system.</w:t>
            </w:r>
          </w:p>
          <w:p w:rsidR="006C33A0" w:rsidRPr="002736FD" w:rsidRDefault="000F403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36FD">
              <w:rPr>
                <w:sz w:val="20"/>
                <w:szCs w:val="20"/>
              </w:rPr>
              <w:t>Convert between the different units of length, mass and capacity in the Imperial System.</w:t>
            </w:r>
          </w:p>
          <w:p w:rsidR="006C33A0" w:rsidRPr="002736FD" w:rsidRDefault="000F403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736FD">
              <w:rPr>
                <w:sz w:val="20"/>
                <w:szCs w:val="20"/>
              </w:rPr>
              <w:t>Convert between basic units of length in metric and Imperial system.</w:t>
            </w:r>
          </w:p>
          <w:p w:rsidR="006C33A0" w:rsidRPr="002736FD" w:rsidRDefault="000F403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36FD">
              <w:rPr>
                <w:sz w:val="20"/>
                <w:szCs w:val="20"/>
              </w:rPr>
              <w:t>Give an outline account of the histori</w:t>
            </w:r>
            <w:r w:rsidRPr="002736FD">
              <w:rPr>
                <w:sz w:val="20"/>
                <w:szCs w:val="20"/>
              </w:rPr>
              <w:t>cal development of the metric system.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  <w:r w:rsidRPr="002736FD">
              <w:rPr>
                <w:b/>
                <w:bCs/>
                <w:i/>
                <w:iCs/>
                <w:u w:val="single"/>
              </w:rPr>
              <w:t>Tier 2</w:t>
            </w:r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</w:pPr>
            <w:r w:rsidRPr="002736FD">
              <w:t>Measure</w:t>
            </w:r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</w:pPr>
            <w:r w:rsidRPr="002736FD">
              <w:t>Convert</w:t>
            </w:r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</w:pPr>
            <w:r w:rsidRPr="002736FD">
              <w:t>Metric</w:t>
            </w:r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</w:pPr>
            <w:r w:rsidRPr="002736FD">
              <w:t>Imperial</w:t>
            </w:r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  <w:r w:rsidRPr="002736FD">
              <w:rPr>
                <w:b/>
                <w:bCs/>
                <w:i/>
                <w:iCs/>
                <w:u w:val="single"/>
              </w:rPr>
              <w:t>Tier 3</w:t>
            </w:r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6FD">
              <w:rPr>
                <w:sz w:val="18"/>
                <w:szCs w:val="18"/>
              </w:rPr>
              <w:t>Length</w:t>
            </w:r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6FD">
              <w:rPr>
                <w:sz w:val="18"/>
                <w:szCs w:val="18"/>
              </w:rPr>
              <w:t>Area</w:t>
            </w:r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6FD">
              <w:rPr>
                <w:sz w:val="18"/>
                <w:szCs w:val="18"/>
              </w:rPr>
              <w:t>Volume</w:t>
            </w:r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2736FD">
              <w:rPr>
                <w:sz w:val="18"/>
                <w:szCs w:val="18"/>
              </w:rPr>
              <w:t>Millimetre</w:t>
            </w:r>
            <w:proofErr w:type="spellEnd"/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2736FD">
              <w:rPr>
                <w:sz w:val="18"/>
                <w:szCs w:val="18"/>
              </w:rPr>
              <w:t>Centimetre</w:t>
            </w:r>
            <w:proofErr w:type="spellEnd"/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2736FD">
              <w:rPr>
                <w:sz w:val="18"/>
                <w:szCs w:val="18"/>
              </w:rPr>
              <w:t>Metre</w:t>
            </w:r>
            <w:proofErr w:type="spellEnd"/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2736FD">
              <w:rPr>
                <w:sz w:val="18"/>
                <w:szCs w:val="18"/>
              </w:rPr>
              <w:t>Kilometre</w:t>
            </w:r>
            <w:proofErr w:type="spellEnd"/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2736FD">
              <w:rPr>
                <w:sz w:val="18"/>
                <w:szCs w:val="18"/>
              </w:rPr>
              <w:t>Millilitre</w:t>
            </w:r>
            <w:proofErr w:type="spellEnd"/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6FD">
              <w:rPr>
                <w:sz w:val="18"/>
                <w:szCs w:val="18"/>
              </w:rPr>
              <w:t>Lite</w:t>
            </w:r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6FD">
              <w:rPr>
                <w:sz w:val="18"/>
                <w:szCs w:val="18"/>
              </w:rPr>
              <w:t>Gram</w:t>
            </w:r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6FD">
              <w:rPr>
                <w:sz w:val="18"/>
                <w:szCs w:val="18"/>
              </w:rPr>
              <w:t>Kilogram</w:t>
            </w:r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2736FD">
              <w:rPr>
                <w:sz w:val="18"/>
                <w:szCs w:val="18"/>
              </w:rPr>
              <w:t>Tonne</w:t>
            </w:r>
            <w:proofErr w:type="spellEnd"/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6FD">
              <w:rPr>
                <w:sz w:val="18"/>
                <w:szCs w:val="18"/>
              </w:rPr>
              <w:t>Inch</w:t>
            </w:r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6FD">
              <w:rPr>
                <w:sz w:val="18"/>
                <w:szCs w:val="18"/>
              </w:rPr>
              <w:t>Foot</w:t>
            </w:r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6FD">
              <w:rPr>
                <w:sz w:val="18"/>
                <w:szCs w:val="18"/>
              </w:rPr>
              <w:t>Yard</w:t>
            </w:r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6FD">
              <w:rPr>
                <w:sz w:val="18"/>
                <w:szCs w:val="18"/>
              </w:rPr>
              <w:t>Mile</w:t>
            </w:r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6FD">
              <w:rPr>
                <w:sz w:val="18"/>
                <w:szCs w:val="18"/>
              </w:rPr>
              <w:t>Furlong</w:t>
            </w:r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6FD">
              <w:rPr>
                <w:sz w:val="18"/>
                <w:szCs w:val="18"/>
              </w:rPr>
              <w:t>Chair</w:t>
            </w:r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6FD">
              <w:rPr>
                <w:sz w:val="18"/>
                <w:szCs w:val="18"/>
              </w:rPr>
              <w:t>Pound</w:t>
            </w:r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6FD">
              <w:rPr>
                <w:sz w:val="18"/>
                <w:szCs w:val="18"/>
              </w:rPr>
              <w:t>Ounce</w:t>
            </w:r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6FD">
              <w:rPr>
                <w:sz w:val="18"/>
                <w:szCs w:val="18"/>
              </w:rPr>
              <w:t>Stone</w:t>
            </w:r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6FD">
              <w:rPr>
                <w:sz w:val="18"/>
                <w:szCs w:val="18"/>
              </w:rPr>
              <w:t>Ton</w:t>
            </w:r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6FD">
              <w:rPr>
                <w:sz w:val="18"/>
                <w:szCs w:val="18"/>
              </w:rPr>
              <w:t>Pint</w:t>
            </w:r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6FD">
              <w:rPr>
                <w:sz w:val="18"/>
                <w:szCs w:val="18"/>
              </w:rPr>
              <w:t>Gallon</w:t>
            </w:r>
          </w:p>
          <w:p w:rsidR="006C33A0" w:rsidRPr="002736FD" w:rsidRDefault="000F4032">
            <w:pPr>
              <w:pStyle w:val="NoSpacing"/>
              <w:spacing w:after="0" w:line="240" w:lineRule="auto"/>
              <w:jc w:val="center"/>
            </w:pPr>
            <w:r w:rsidRPr="002736FD">
              <w:rPr>
                <w:sz w:val="18"/>
                <w:szCs w:val="18"/>
              </w:rPr>
              <w:t>Multiplier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3A0" w:rsidRPr="002736FD" w:rsidRDefault="000F4032">
            <w:pPr>
              <w:pStyle w:val="NoSpacing"/>
              <w:spacing w:after="0" w:line="240" w:lineRule="auto"/>
              <w:rPr>
                <w:b/>
                <w:bCs/>
                <w:u w:val="single"/>
              </w:rPr>
            </w:pPr>
            <w:r w:rsidRPr="002736FD">
              <w:rPr>
                <w:b/>
                <w:bCs/>
                <w:u w:val="single"/>
              </w:rPr>
              <w:t>Pre-classroom:</w:t>
            </w:r>
          </w:p>
          <w:p w:rsidR="006C33A0" w:rsidRPr="002736FD" w:rsidRDefault="000F4032">
            <w:pPr>
              <w:pStyle w:val="NoSpacing"/>
              <w:spacing w:after="0" w:line="240" w:lineRule="auto"/>
            </w:pPr>
            <w:r w:rsidRPr="002736FD">
              <w:t xml:space="preserve">Pre-lesson tasks on </w:t>
            </w:r>
            <w:r w:rsidRPr="002736FD">
              <w:rPr>
                <w:b/>
                <w:bCs/>
              </w:rPr>
              <w:t>google classroom</w:t>
            </w:r>
            <w:r w:rsidRPr="002736FD">
              <w:t xml:space="preserve"> to get you thinking.</w:t>
            </w:r>
          </w:p>
          <w:p w:rsidR="006C33A0" w:rsidRPr="002736FD" w:rsidRDefault="006C33A0">
            <w:pPr>
              <w:pStyle w:val="NoSpacing"/>
              <w:spacing w:after="0" w:line="240" w:lineRule="auto"/>
            </w:pPr>
          </w:p>
          <w:p w:rsidR="006C33A0" w:rsidRPr="002736FD" w:rsidRDefault="000F4032">
            <w:pPr>
              <w:pStyle w:val="NoSpacing"/>
              <w:spacing w:after="0" w:line="240" w:lineRule="auto"/>
            </w:pPr>
            <w:r w:rsidRPr="002736FD">
              <w:t>Diagnostic questions</w:t>
            </w:r>
          </w:p>
          <w:p w:rsidR="006C33A0" w:rsidRPr="002736FD" w:rsidRDefault="006C33A0">
            <w:pPr>
              <w:pStyle w:val="NoSpacing"/>
              <w:spacing w:after="0" w:line="240" w:lineRule="auto"/>
            </w:pPr>
          </w:p>
          <w:p w:rsidR="006C33A0" w:rsidRPr="002736FD" w:rsidRDefault="000F4032">
            <w:pPr>
              <w:pStyle w:val="NoSpacing"/>
              <w:spacing w:after="0" w:line="240" w:lineRule="auto"/>
              <w:rPr>
                <w:b/>
                <w:bCs/>
                <w:u w:val="single"/>
              </w:rPr>
            </w:pPr>
            <w:r w:rsidRPr="002736FD">
              <w:rPr>
                <w:b/>
                <w:bCs/>
                <w:u w:val="single"/>
              </w:rPr>
              <w:t>Post-Classroom:</w:t>
            </w:r>
          </w:p>
          <w:p w:rsidR="006C33A0" w:rsidRPr="002736FD" w:rsidRDefault="000F4032">
            <w:pPr>
              <w:pStyle w:val="NoSpacing"/>
              <w:spacing w:after="0" w:line="240" w:lineRule="auto"/>
            </w:pPr>
            <w:r w:rsidRPr="002736FD">
              <w:t>Post lessons online tasks:</w:t>
            </w:r>
          </w:p>
          <w:p w:rsidR="006C33A0" w:rsidRPr="002736FD" w:rsidRDefault="006C33A0">
            <w:pPr>
              <w:pStyle w:val="NoSpacing"/>
              <w:spacing w:after="0" w:line="240" w:lineRule="auto"/>
            </w:pPr>
          </w:p>
          <w:p w:rsidR="006C33A0" w:rsidRPr="002736FD" w:rsidRDefault="000F4032">
            <w:pPr>
              <w:pStyle w:val="NoSpacing"/>
              <w:numPr>
                <w:ilvl w:val="0"/>
                <w:numId w:val="4"/>
              </w:numPr>
              <w:spacing w:after="0" w:line="240" w:lineRule="auto"/>
            </w:pPr>
            <w:r w:rsidRPr="002736FD">
              <w:t>My Maths</w:t>
            </w:r>
          </w:p>
          <w:p w:rsidR="006C33A0" w:rsidRPr="002736FD" w:rsidRDefault="000F4032">
            <w:pPr>
              <w:pStyle w:val="NoSpacing"/>
              <w:numPr>
                <w:ilvl w:val="0"/>
                <w:numId w:val="4"/>
              </w:numPr>
              <w:spacing w:after="0" w:line="240" w:lineRule="auto"/>
            </w:pPr>
            <w:r w:rsidRPr="002736FD">
              <w:t>Google Form Quizzes</w:t>
            </w:r>
          </w:p>
          <w:p w:rsidR="006C33A0" w:rsidRPr="002736FD" w:rsidRDefault="000F4032">
            <w:pPr>
              <w:pStyle w:val="NoSpacing"/>
              <w:numPr>
                <w:ilvl w:val="0"/>
                <w:numId w:val="4"/>
              </w:numPr>
              <w:spacing w:after="0" w:line="240" w:lineRule="auto"/>
            </w:pPr>
            <w:r w:rsidRPr="002736FD">
              <w:t>Independent learning notes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3A0" w:rsidRPr="002736FD" w:rsidRDefault="000F4032">
            <w:pPr>
              <w:pStyle w:val="NoSpacing"/>
              <w:spacing w:after="0" w:line="240" w:lineRule="auto"/>
            </w:pPr>
            <w:r w:rsidRPr="002736FD">
              <w:t>Formative assessment at the end of the units in their LPS bo</w:t>
            </w:r>
            <w:r w:rsidRPr="002736FD">
              <w:t xml:space="preserve">oks.  </w:t>
            </w:r>
          </w:p>
          <w:p w:rsidR="006C33A0" w:rsidRPr="002736FD" w:rsidRDefault="006C33A0">
            <w:pPr>
              <w:pStyle w:val="NoSpacing"/>
              <w:spacing w:after="0" w:line="240" w:lineRule="auto"/>
            </w:pPr>
          </w:p>
          <w:p w:rsidR="006C33A0" w:rsidRPr="002736FD" w:rsidRDefault="000F4032">
            <w:pPr>
              <w:pStyle w:val="NoSpacing"/>
              <w:spacing w:after="0" w:line="240" w:lineRule="auto"/>
            </w:pPr>
            <w:r w:rsidRPr="002736FD">
              <w:t xml:space="preserve">This will be a combination of students presenting what they know in a creative way followed by some differentiated questions. </w:t>
            </w:r>
          </w:p>
          <w:p w:rsidR="006C33A0" w:rsidRPr="002736FD" w:rsidRDefault="006C33A0">
            <w:pPr>
              <w:pStyle w:val="NoSpacing"/>
              <w:spacing w:after="0" w:line="240" w:lineRule="auto"/>
            </w:pPr>
          </w:p>
          <w:p w:rsidR="006C33A0" w:rsidRPr="002736FD" w:rsidRDefault="006C33A0">
            <w:pPr>
              <w:pStyle w:val="NoSpacing"/>
              <w:spacing w:after="0" w:line="240" w:lineRule="auto"/>
            </w:pPr>
          </w:p>
          <w:p w:rsidR="006C33A0" w:rsidRPr="002736FD" w:rsidRDefault="000F4032">
            <w:pPr>
              <w:pStyle w:val="NoSpacing"/>
              <w:spacing w:after="0" w:line="240" w:lineRule="auto"/>
            </w:pPr>
            <w:r w:rsidRPr="002736FD">
              <w:t xml:space="preserve">Summative Assessment at the end of T2.  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3A0" w:rsidRPr="002736FD" w:rsidRDefault="000F4032">
            <w:pPr>
              <w:tabs>
                <w:tab w:val="left" w:pos="1440"/>
              </w:tabs>
              <w:suppressAutoHyphens/>
              <w:outlineLvl w:val="0"/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2736FD">
              <w:rPr>
                <w:rFonts w:ascii="Calibri" w:hAnsi="Calibri" w:cs="Calibri"/>
                <w:color w:val="000000"/>
                <w:sz w:val="22"/>
                <w:szCs w:val="22"/>
              </w:rPr>
              <w:t>Explore the history with regards to the old system and metric system used in B</w:t>
            </w:r>
            <w:r w:rsidRPr="002736FD">
              <w:rPr>
                <w:rFonts w:ascii="Calibri" w:hAnsi="Calibri" w:cs="Calibri"/>
                <w:color w:val="000000"/>
                <w:sz w:val="22"/>
                <w:szCs w:val="22"/>
              </w:rPr>
              <w:t>ritain and read How France created the metric system</w:t>
            </w:r>
          </w:p>
          <w:p w:rsidR="006C33A0" w:rsidRPr="002736FD" w:rsidRDefault="000F4032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  <w:hyperlink r:id="rId7" w:history="1">
              <w:r w:rsidRPr="002736FD">
                <w:rPr>
                  <w:rStyle w:val="Hyperlink0"/>
                  <w:rFonts w:ascii="Calibri" w:hAnsi="Calibri" w:cs="Calibri"/>
                  <w:sz w:val="22"/>
                  <w:szCs w:val="22"/>
                </w:rPr>
                <w:t>http://www.bbc.com/travel/story/20180923-how-france-created-the-metric-system</w:t>
              </w:r>
            </w:hyperlink>
            <w:r w:rsidRPr="002736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3A0" w:rsidRPr="002736FD" w:rsidRDefault="000F4032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2736FD">
              <w:rPr>
                <w:rFonts w:ascii="Calibri" w:hAnsi="Calibri" w:cs="Calibri"/>
                <w:color w:val="000000"/>
              </w:rPr>
              <w:t xml:space="preserve">Visit the British Museum and </w:t>
            </w:r>
            <w:r w:rsidRPr="002736FD">
              <w:rPr>
                <w:rFonts w:ascii="Calibri" w:hAnsi="Calibri" w:cs="Calibri"/>
                <w:color w:val="000000"/>
              </w:rPr>
              <w:t>see the first recorded units of length and weight used in ancient Mesopotamia</w:t>
            </w:r>
          </w:p>
        </w:tc>
      </w:tr>
    </w:tbl>
    <w:p w:rsidR="006C33A0" w:rsidRPr="002736FD" w:rsidRDefault="006C33A0">
      <w:pPr>
        <w:pStyle w:val="Body"/>
        <w:widowControl w:val="0"/>
        <w:ind w:left="108" w:hanging="108"/>
        <w:rPr>
          <w:rFonts w:ascii="Calibri" w:hAnsi="Calibri" w:cs="Calibri"/>
        </w:rPr>
      </w:pPr>
    </w:p>
    <w:sectPr w:rsidR="006C33A0" w:rsidRPr="002736FD">
      <w:headerReference w:type="default" r:id="rId8"/>
      <w:footerReference w:type="default" r:id="rId9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F4032">
      <w:r>
        <w:separator/>
      </w:r>
    </w:p>
  </w:endnote>
  <w:endnote w:type="continuationSeparator" w:id="0">
    <w:p w:rsidR="00000000" w:rsidRDefault="000F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3A0" w:rsidRDefault="006C33A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F4032">
      <w:r>
        <w:separator/>
      </w:r>
    </w:p>
  </w:footnote>
  <w:footnote w:type="continuationSeparator" w:id="0">
    <w:p w:rsidR="00000000" w:rsidRDefault="000F4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3A0" w:rsidRDefault="006C33A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776B"/>
    <w:multiLevelType w:val="hybridMultilevel"/>
    <w:tmpl w:val="50DC9288"/>
    <w:lvl w:ilvl="0" w:tplc="D5D623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ED241F50">
      <w:start w:val="1"/>
      <w:numFmt w:val="lowerLetter"/>
      <w:lvlText w:val="%2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85E58">
      <w:start w:val="1"/>
      <w:numFmt w:val="lowerRoman"/>
      <w:lvlText w:val="%3."/>
      <w:lvlJc w:val="left"/>
      <w:pPr>
        <w:ind w:left="2133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780E0E">
      <w:start w:val="1"/>
      <w:numFmt w:val="decimal"/>
      <w:lvlText w:val="%4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FA0582">
      <w:start w:val="1"/>
      <w:numFmt w:val="lowerLetter"/>
      <w:lvlText w:val="%5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2ADE90">
      <w:start w:val="1"/>
      <w:numFmt w:val="lowerRoman"/>
      <w:lvlText w:val="%6."/>
      <w:lvlJc w:val="left"/>
      <w:pPr>
        <w:ind w:left="4293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64D1E8">
      <w:start w:val="1"/>
      <w:numFmt w:val="decimal"/>
      <w:lvlText w:val="%7."/>
      <w:lvlJc w:val="left"/>
      <w:pPr>
        <w:ind w:left="5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3A37B4">
      <w:start w:val="1"/>
      <w:numFmt w:val="lowerLetter"/>
      <w:lvlText w:val="%8.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CA923C">
      <w:start w:val="1"/>
      <w:numFmt w:val="lowerRoman"/>
      <w:lvlText w:val="%9."/>
      <w:lvlJc w:val="left"/>
      <w:pPr>
        <w:ind w:left="6453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6704434"/>
    <w:multiLevelType w:val="hybridMultilevel"/>
    <w:tmpl w:val="7ABE65C8"/>
    <w:lvl w:ilvl="0" w:tplc="28548EA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9C5A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503F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18EC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EEE6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D4B9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C073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CEEA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C6E8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5C86EEA"/>
    <w:multiLevelType w:val="hybridMultilevel"/>
    <w:tmpl w:val="CC7680CC"/>
    <w:lvl w:ilvl="0" w:tplc="850247A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46DAEE">
      <w:start w:val="1"/>
      <w:numFmt w:val="lowerLetter"/>
      <w:lvlText w:val="%2."/>
      <w:lvlJc w:val="left"/>
      <w:pPr>
        <w:ind w:left="97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20A5CC">
      <w:start w:val="1"/>
      <w:numFmt w:val="lowerRoman"/>
      <w:lvlText w:val="%3."/>
      <w:lvlJc w:val="left"/>
      <w:pPr>
        <w:ind w:left="169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2D228">
      <w:start w:val="1"/>
      <w:numFmt w:val="decimal"/>
      <w:lvlText w:val="%4."/>
      <w:lvlJc w:val="left"/>
      <w:pPr>
        <w:ind w:left="241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B42C46">
      <w:start w:val="1"/>
      <w:numFmt w:val="lowerLetter"/>
      <w:lvlText w:val="%5."/>
      <w:lvlJc w:val="left"/>
      <w:pPr>
        <w:ind w:left="313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A26760">
      <w:start w:val="1"/>
      <w:numFmt w:val="lowerRoman"/>
      <w:lvlText w:val="%6."/>
      <w:lvlJc w:val="left"/>
      <w:pPr>
        <w:ind w:left="385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BC4188">
      <w:start w:val="1"/>
      <w:numFmt w:val="decimal"/>
      <w:lvlText w:val="%7."/>
      <w:lvlJc w:val="left"/>
      <w:pPr>
        <w:ind w:left="457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7E4A68">
      <w:start w:val="1"/>
      <w:numFmt w:val="lowerLetter"/>
      <w:lvlText w:val="%8."/>
      <w:lvlJc w:val="left"/>
      <w:pPr>
        <w:ind w:left="529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0C0A4">
      <w:start w:val="1"/>
      <w:numFmt w:val="lowerRoman"/>
      <w:lvlText w:val="%9."/>
      <w:lvlJc w:val="left"/>
      <w:pPr>
        <w:ind w:left="601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D5D62326">
        <w:start w:val="1"/>
        <w:numFmt w:val="decimal"/>
        <w:lvlText w:val="%1.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ED241F50">
        <w:start w:val="1"/>
        <w:numFmt w:val="lowerLetter"/>
        <w:lvlText w:val="%2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185E58">
        <w:start w:val="1"/>
        <w:numFmt w:val="lowerRoman"/>
        <w:lvlText w:val="%3."/>
        <w:lvlJc w:val="left"/>
        <w:pPr>
          <w:ind w:left="2133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780E0E">
        <w:start w:val="1"/>
        <w:numFmt w:val="decimal"/>
        <w:lvlText w:val="%4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FA0582">
        <w:start w:val="1"/>
        <w:numFmt w:val="lowerLetter"/>
        <w:lvlText w:val="%5."/>
        <w:lvlJc w:val="left"/>
        <w:pPr>
          <w:ind w:left="3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2ADE90">
        <w:start w:val="1"/>
        <w:numFmt w:val="lowerRoman"/>
        <w:lvlText w:val="%6."/>
        <w:lvlJc w:val="left"/>
        <w:pPr>
          <w:ind w:left="4293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64D1E8">
        <w:start w:val="1"/>
        <w:numFmt w:val="decimal"/>
        <w:lvlText w:val="%7."/>
        <w:lvlJc w:val="left"/>
        <w:pPr>
          <w:ind w:left="50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3A37B4">
        <w:start w:val="1"/>
        <w:numFmt w:val="lowerLetter"/>
        <w:lvlText w:val="%8."/>
        <w:lvlJc w:val="left"/>
        <w:pPr>
          <w:ind w:left="57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CA923C">
        <w:start w:val="1"/>
        <w:numFmt w:val="lowerRoman"/>
        <w:lvlText w:val="%9."/>
        <w:lvlJc w:val="left"/>
        <w:pPr>
          <w:ind w:left="6453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3A0"/>
    <w:rsid w:val="00072700"/>
    <w:rsid w:val="000E15CE"/>
    <w:rsid w:val="000F4032"/>
    <w:rsid w:val="002736FD"/>
    <w:rsid w:val="004D76DB"/>
    <w:rsid w:val="006C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1FFB"/>
  <w15:docId w15:val="{85E5AAB5-BA08-40B9-832C-C6A16901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bc.com/travel/story/20180923-how-france-created-the-metric-syst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AE6189C</Template>
  <TotalTime>2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Soni</cp:lastModifiedBy>
  <cp:revision>6</cp:revision>
  <dcterms:created xsi:type="dcterms:W3CDTF">2020-07-16T13:19:00Z</dcterms:created>
  <dcterms:modified xsi:type="dcterms:W3CDTF">2020-07-16T13:21:00Z</dcterms:modified>
</cp:coreProperties>
</file>