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AB42AF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3.4.2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Materials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AB42AF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AB42AF">
              <w:rPr>
                <w:rFonts w:asciiTheme="minorHAnsi" w:hAnsiTheme="minorHAnsi" w:cs="Calibri"/>
                <w:sz w:val="20"/>
                <w:szCs w:val="20"/>
              </w:rPr>
              <w:t xml:space="preserve">What are the required properties of materials for specific tasks. Requirements could include the object been elastic, brittle, ductile, malleable, strong or tough. </w:t>
            </w:r>
            <w:r w:rsidR="006D2841">
              <w:rPr>
                <w:rFonts w:asciiTheme="minorHAnsi" w:hAnsiTheme="minorHAnsi" w:cs="Calibri"/>
                <w:sz w:val="20"/>
                <w:szCs w:val="20"/>
              </w:rPr>
              <w:t xml:space="preserve">Why is it important to know the strength of a material and how it behaves under various conditions? </w:t>
            </w:r>
            <w:r w:rsidR="00AB42AF">
              <w:rPr>
                <w:rFonts w:asciiTheme="minorHAnsi" w:hAnsiTheme="minorHAnsi" w:cs="Calibri"/>
                <w:sz w:val="20"/>
                <w:szCs w:val="20"/>
              </w:rPr>
              <w:t xml:space="preserve">A method to investigate these factors involves </w:t>
            </w:r>
            <w:r w:rsidR="00B25F6C">
              <w:rPr>
                <w:rFonts w:asciiTheme="minorHAnsi" w:hAnsiTheme="minorHAnsi" w:cs="Calibri"/>
                <w:sz w:val="20"/>
                <w:szCs w:val="20"/>
              </w:rPr>
              <w:t xml:space="preserve">knowing </w:t>
            </w:r>
            <w:r w:rsidR="00AB42AF">
              <w:rPr>
                <w:rFonts w:asciiTheme="minorHAnsi" w:hAnsiTheme="minorHAnsi" w:cs="Calibri"/>
                <w:sz w:val="20"/>
                <w:szCs w:val="20"/>
              </w:rPr>
              <w:t>the Young’s modulus of the material.”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B25F6C">
        <w:trPr>
          <w:trHeight w:val="1833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B25F6C" w:rsidRPr="00B25F6C" w:rsidRDefault="00B25F6C" w:rsidP="00B25F6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hAnsiTheme="minorHAnsi"/>
                <w:sz w:val="20"/>
                <w:szCs w:val="20"/>
                <w:lang w:val="en-GB"/>
              </w:rPr>
              <w:t>Alloy</w:t>
            </w:r>
          </w:p>
          <w:p w:rsidR="00B25F6C" w:rsidRPr="00B25F6C" w:rsidRDefault="00B25F6C" w:rsidP="00B25F6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hAnsiTheme="minorHAnsi"/>
                <w:sz w:val="20"/>
                <w:szCs w:val="20"/>
                <w:lang w:val="en-GB"/>
              </w:rPr>
              <w:t>Breaking stress</w:t>
            </w:r>
          </w:p>
          <w:p w:rsidR="00B25F6C" w:rsidRPr="00B25F6C" w:rsidRDefault="00B25F6C" w:rsidP="00B25F6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hAnsiTheme="minorHAnsi"/>
                <w:sz w:val="20"/>
                <w:szCs w:val="20"/>
                <w:lang w:val="en-GB"/>
              </w:rPr>
              <w:t>Brittle</w:t>
            </w:r>
          </w:p>
          <w:p w:rsidR="00B25F6C" w:rsidRPr="00B25F6C" w:rsidRDefault="00B25F6C" w:rsidP="00B25F6C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hAnsiTheme="minorHAnsi"/>
                <w:sz w:val="20"/>
                <w:szCs w:val="20"/>
                <w:lang w:val="en-GB"/>
              </w:rPr>
              <w:t>Density</w:t>
            </w:r>
          </w:p>
          <w:p w:rsidR="00FD3A08" w:rsidRPr="00FD3A08" w:rsidRDefault="00B25F6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hAnsiTheme="minorHAnsi"/>
                <w:sz w:val="20"/>
                <w:szCs w:val="20"/>
                <w:lang w:val="en-GB"/>
              </w:rPr>
              <w:t>Ductile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D76C95" w:rsidRDefault="00D76C95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Elastic deformation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Elastic energy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Elastic limit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Extension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Hooke’s law</w:t>
            </w:r>
          </w:p>
          <w:p w:rsidR="00D76C95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Limit of Proportionality</w:t>
            </w:r>
          </w:p>
          <w:p w:rsidR="00FD3A08" w:rsidRPr="00FD3A08" w:rsidRDefault="00D76C95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 </w:t>
            </w: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D76C95" w:rsidRDefault="00D76C95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Mass</w:t>
            </w:r>
          </w:p>
          <w:p w:rsidR="00D76C95" w:rsidRDefault="00D76C95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Load</w:t>
            </w:r>
          </w:p>
          <w:p w:rsidR="00FD3A08" w:rsidRDefault="00B25F6C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Pascal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Plastic deformation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Spring constant</w:t>
            </w:r>
          </w:p>
          <w:p w:rsidR="00B25F6C" w:rsidRPr="00B25F6C" w:rsidRDefault="00B25F6C" w:rsidP="00B25F6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Stiffness</w:t>
            </w:r>
          </w:p>
          <w:p w:rsidR="00F5427C" w:rsidRPr="00F0499C" w:rsidRDefault="00F5427C" w:rsidP="00D76C95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D76C95" w:rsidRDefault="00D76C95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Strong</w:t>
            </w:r>
          </w:p>
          <w:p w:rsidR="00D76C95" w:rsidRDefault="00D76C95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Tensile strain</w:t>
            </w:r>
          </w:p>
          <w:p w:rsidR="00D76C95" w:rsidRDefault="00D76C95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Tensile stress</w:t>
            </w:r>
          </w:p>
          <w:p w:rsidR="00B25F6C" w:rsidRPr="00B25F6C" w:rsidRDefault="00B25F6C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Ultimate tensile stress</w:t>
            </w:r>
          </w:p>
          <w:p w:rsidR="00B25F6C" w:rsidRPr="00B25F6C" w:rsidRDefault="00B25F6C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Volume</w:t>
            </w:r>
          </w:p>
          <w:p w:rsidR="00B25F6C" w:rsidRPr="00B25F6C" w:rsidRDefault="00B25F6C" w:rsidP="00B25F6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B25F6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Yield point</w:t>
            </w:r>
          </w:p>
          <w:p w:rsidR="00F5427C" w:rsidRPr="00E35828" w:rsidRDefault="00B25F6C" w:rsidP="00D76C95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B25F6C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Young’s Modulus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410"/>
        <w:gridCol w:w="2779"/>
      </w:tblGrid>
      <w:tr w:rsidR="00CE0552" w:rsidRPr="00CA50D9" w:rsidTr="00B53DD6">
        <w:tc>
          <w:tcPr>
            <w:tcW w:w="311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53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B53DD6">
        <w:trPr>
          <w:trHeight w:val="4170"/>
        </w:trPr>
        <w:tc>
          <w:tcPr>
            <w:tcW w:w="3114" w:type="dxa"/>
          </w:tcPr>
          <w:p w:rsidR="00F5427C" w:rsidRDefault="00B25F6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  <w:r w:rsidR="00AE21CF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 w:rsidR="00AE21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determine the density o</w:t>
            </w:r>
            <w:r w:rsidR="00B270D5">
              <w:rPr>
                <w:rFonts w:asciiTheme="minorHAnsi" w:hAnsiTheme="minorHAnsi"/>
                <w:sz w:val="20"/>
                <w:szCs w:val="20"/>
              </w:rPr>
              <w:t>f regular and irregular objects.</w:t>
            </w:r>
          </w:p>
          <w:p w:rsidR="00B25F6C" w:rsidRDefault="00B25F6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apply the Hooke’s law equation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0403CC">
              <w:rPr>
                <w:rFonts w:asciiTheme="minorHAnsi" w:hAnsiTheme="minorHAnsi"/>
                <w:sz w:val="20"/>
                <w:szCs w:val="20"/>
              </w:rPr>
              <w:t>and plot a graph and find the spring constant.</w:t>
            </w:r>
          </w:p>
          <w:p w:rsidR="00B25F6C" w:rsidRDefault="00B270D5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D76C95">
              <w:rPr>
                <w:rFonts w:asciiTheme="minorHAnsi" w:hAnsiTheme="minorHAnsi"/>
                <w:sz w:val="20"/>
                <w:szCs w:val="20"/>
              </w:rPr>
              <w:t>determine the elastic energy and by using a graph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by calculation</w:t>
            </w:r>
            <w:r w:rsidR="00D76C9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76C95" w:rsidRDefault="00D76C95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elastic, plastic, fracture and brittle behaviour.</w:t>
            </w:r>
          </w:p>
          <w:p w:rsidR="00D76C95" w:rsidRPr="00CA50D9" w:rsidRDefault="000403C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interpret</w:t>
            </w:r>
            <w:r w:rsidR="00D76C95">
              <w:rPr>
                <w:rFonts w:asciiTheme="minorHAnsi" w:hAnsiTheme="minorHAnsi"/>
                <w:sz w:val="20"/>
                <w:szCs w:val="20"/>
              </w:rPr>
              <w:t xml:space="preserve"> stress-strain graph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F5427C" w:rsidRDefault="00D76C95" w:rsidP="00D76C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3.4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calculate the Young’s modulus </w:t>
            </w:r>
            <w:r w:rsidR="00B270D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mathematically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and graphically.</w:t>
            </w:r>
          </w:p>
          <w:p w:rsidR="003036CF" w:rsidRPr="003036CF" w:rsidRDefault="00D76C95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To describe a method to determine the Young’s modulus</w:t>
            </w:r>
          </w:p>
        </w:tc>
        <w:tc>
          <w:tcPr>
            <w:tcW w:w="4536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D76C95">
              <w:rPr>
                <w:rFonts w:asciiTheme="minorHAnsi" w:eastAsia="Times New Roman" w:hAnsiTheme="minorHAnsi" w:cs="Tahoma"/>
                <w:sz w:val="20"/>
                <w:szCs w:val="20"/>
              </w:rPr>
              <w:t>184-193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794834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794834">
              <w:rPr>
                <w:rFonts w:asciiTheme="minorHAnsi" w:eastAsia="Times New Roman" w:hAnsiTheme="minorHAnsi" w:cs="Tahoma"/>
                <w:sz w:val="20"/>
                <w:szCs w:val="20"/>
              </w:rPr>
              <w:t>Young’s modulus, required practical</w:t>
            </w:r>
          </w:p>
          <w:p w:rsidR="00E20DBB" w:rsidRDefault="00C1313F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6" w:history="1">
              <w:r w:rsidR="00794834" w:rsidRPr="00794834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https://www.youtube.com/watch?v=aGS_tYML3HQ</w:t>
              </w:r>
            </w:hyperlink>
          </w:p>
          <w:p w:rsidR="00E20DBB" w:rsidRDefault="00794834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Brittle and ductile failure</w:t>
            </w:r>
          </w:p>
          <w:p w:rsidR="00E20DBB" w:rsidRDefault="00B53DD6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(3</w:t>
            </w:r>
            <w:r w:rsidR="00794834">
              <w:rPr>
                <w:rFonts w:asciiTheme="minorHAnsi" w:eastAsia="Times New Roman" w:hAnsiTheme="minorHAnsi" w:cs="Tahoma"/>
                <w:sz w:val="20"/>
                <w:szCs w:val="20"/>
              </w:rPr>
              <w:t>) Hooke’s law: mechanical properties of solids</w:t>
            </w: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DC7F42" w:rsidRDefault="00C1313F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794834" w:rsidRPr="007948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http://physicsnet.co.uk/a-level-physics-as-a2/materials/young-modulus/</w:t>
              </w:r>
            </w:hyperlink>
          </w:p>
          <w:p w:rsidR="00794834" w:rsidRDefault="00794834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4834" w:rsidRPr="00EC2831" w:rsidRDefault="00C1313F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794834" w:rsidRPr="007948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https://coolscienceexperimentshq.com/simple-experiments-to-learn-about-density/</w:t>
              </w:r>
            </w:hyperlink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F136F7"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4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: </w:t>
            </w:r>
          </w:p>
          <w:p w:rsidR="00B53DD6" w:rsidRDefault="00F136F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Determination of the Young’s modulus of copper</w:t>
            </w:r>
          </w:p>
          <w:p w:rsidR="00F136F7" w:rsidRDefault="00F136F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EC2831" w:rsidRDefault="00F136F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B53DD6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Determine the spring constant using Hooke’s law</w:t>
            </w:r>
          </w:p>
          <w:p w:rsidR="00F136F7" w:rsidRDefault="00F136F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B53DD6" w:rsidP="00F136F7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F136F7">
              <w:rPr>
                <w:rFonts w:asciiTheme="minorHAnsi" w:eastAsia="Nanum Gothic" w:hAnsiTheme="minorHAnsi" w:cstheme="minorHAnsi"/>
                <w:sz w:val="20"/>
                <w:szCs w:val="20"/>
              </w:rPr>
              <w:t>Materials (4</w:t>
            </w:r>
            <w:r w:rsidR="00F136F7" w:rsidRPr="00F136F7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th</w:t>
            </w:r>
            <w:r w:rsidR="00F136F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Jan)</w:t>
            </w:r>
          </w:p>
          <w:p w:rsidR="00C1313F" w:rsidRDefault="00C1313F" w:rsidP="00F136F7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C1313F" w:rsidRPr="00E35828" w:rsidRDefault="00C1313F" w:rsidP="00F136F7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Mechanics (1</w:t>
            </w:r>
            <w:r w:rsidRPr="00C1313F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Feb)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4B0A3E">
              <w:rPr>
                <w:rFonts w:asciiTheme="minorHAnsi" w:eastAsia="Nanum Gothic" w:hAnsiTheme="minorHAnsi" w:cstheme="minorHAnsi"/>
                <w:sz w:val="20"/>
                <w:szCs w:val="20"/>
              </w:rPr>
              <w:t>Review the key terms</w:t>
            </w:r>
          </w:p>
          <w:p w:rsidR="004B0A3E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4B0A3E">
              <w:rPr>
                <w:rFonts w:asciiTheme="minorHAnsi" w:eastAsia="Nanum Gothic" w:hAnsiTheme="minorHAnsi" w:cstheme="minorHAnsi"/>
                <w:sz w:val="20"/>
                <w:szCs w:val="20"/>
              </w:rPr>
              <w:t>Research and produce a report on the use of materials (CPAC 5)</w:t>
            </w:r>
          </w:p>
          <w:p w:rsidR="00B11107" w:rsidRPr="00E35828" w:rsidRDefault="00B1110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779" w:type="dxa"/>
          </w:tcPr>
          <w:p w:rsidR="004B0A3E" w:rsidRDefault="00EC2831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4B0A3E">
              <w:rPr>
                <w:rFonts w:asciiTheme="minorHAnsi" w:eastAsia="Times New Roman" w:hAnsiTheme="minorHAnsi" w:cs="Tahoma"/>
                <w:sz w:val="20"/>
                <w:szCs w:val="20"/>
              </w:rPr>
              <w:t>School visit: Millennium</w:t>
            </w:r>
          </w:p>
          <w:p w:rsidR="004B0A3E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Bridge. Measurements to</w:t>
            </w:r>
          </w:p>
          <w:p w:rsidR="00141BDA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analyse data in the lab</w:t>
            </w:r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4B0A3E" w:rsidRPr="004B0A3E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B0A3E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Blade of Light: The Story of the</w:t>
            </w:r>
          </w:p>
          <w:p w:rsidR="00CE0552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B0A3E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Millennium Bridge </w:t>
            </w:r>
          </w:p>
          <w:p w:rsidR="004B0A3E" w:rsidRPr="004B0A3E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 Deyan Sudjic</w:t>
            </w:r>
          </w:p>
          <w:p w:rsidR="004B0A3E" w:rsidRPr="00CE0552" w:rsidRDefault="004B0A3E" w:rsidP="004B0A3E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3F37"/>
    <w:rsid w:val="00007A7E"/>
    <w:rsid w:val="000403CC"/>
    <w:rsid w:val="0005386E"/>
    <w:rsid w:val="00064326"/>
    <w:rsid w:val="00070983"/>
    <w:rsid w:val="000C49D3"/>
    <w:rsid w:val="0011066B"/>
    <w:rsid w:val="001252D3"/>
    <w:rsid w:val="00141BDA"/>
    <w:rsid w:val="00143ACD"/>
    <w:rsid w:val="00151AF6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36CF"/>
    <w:rsid w:val="003126A3"/>
    <w:rsid w:val="00314127"/>
    <w:rsid w:val="00323257"/>
    <w:rsid w:val="0035246E"/>
    <w:rsid w:val="003976A5"/>
    <w:rsid w:val="003B3E7D"/>
    <w:rsid w:val="003C30CC"/>
    <w:rsid w:val="003C7D1C"/>
    <w:rsid w:val="004003FC"/>
    <w:rsid w:val="00406CED"/>
    <w:rsid w:val="00416663"/>
    <w:rsid w:val="004B0A3E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3DB8"/>
    <w:rsid w:val="0069582A"/>
    <w:rsid w:val="006A1B82"/>
    <w:rsid w:val="006D1E80"/>
    <w:rsid w:val="006D2841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94834"/>
    <w:rsid w:val="007B18DC"/>
    <w:rsid w:val="007B2371"/>
    <w:rsid w:val="007C2927"/>
    <w:rsid w:val="007D67D2"/>
    <w:rsid w:val="007E611C"/>
    <w:rsid w:val="007E7124"/>
    <w:rsid w:val="008455CC"/>
    <w:rsid w:val="00853069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B42AF"/>
    <w:rsid w:val="00AC08B8"/>
    <w:rsid w:val="00AC56A0"/>
    <w:rsid w:val="00AE21CF"/>
    <w:rsid w:val="00AE4546"/>
    <w:rsid w:val="00B05530"/>
    <w:rsid w:val="00B11107"/>
    <w:rsid w:val="00B1690E"/>
    <w:rsid w:val="00B25F6C"/>
    <w:rsid w:val="00B270D5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1313F"/>
    <w:rsid w:val="00C23EEE"/>
    <w:rsid w:val="00C27C55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76C95"/>
    <w:rsid w:val="00D90B00"/>
    <w:rsid w:val="00DA1D64"/>
    <w:rsid w:val="00DB23D3"/>
    <w:rsid w:val="00DC7F42"/>
    <w:rsid w:val="00DE12F8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228"/>
    <w:rsid w:val="00F0499C"/>
    <w:rsid w:val="00F06F6F"/>
    <w:rsid w:val="00F136F7"/>
    <w:rsid w:val="00F14F0B"/>
    <w:rsid w:val="00F3288E"/>
    <w:rsid w:val="00F5427C"/>
    <w:rsid w:val="00F75A39"/>
    <w:rsid w:val="00F831C7"/>
    <w:rsid w:val="00F936D8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scienceexperimentshq.com/simple-experiments-to-learn-about-dens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net.co.uk/a-level-physics-as-a2/materials/young-modu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S_tYML3HQ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10</cp:revision>
  <cp:lastPrinted>2019-10-15T13:14:00Z</cp:lastPrinted>
  <dcterms:created xsi:type="dcterms:W3CDTF">2020-06-26T14:01:00Z</dcterms:created>
  <dcterms:modified xsi:type="dcterms:W3CDTF">2020-07-10T08:16:00Z</dcterms:modified>
</cp:coreProperties>
</file>