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693DB8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3.4.1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 w:rsidR="00853069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Work, Energy and Power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853069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853069">
              <w:rPr>
                <w:rFonts w:asciiTheme="minorHAnsi" w:hAnsiTheme="minorHAnsi" w:cs="Calibri"/>
                <w:sz w:val="20"/>
                <w:szCs w:val="20"/>
              </w:rPr>
              <w:t xml:space="preserve">The concept of energy is very important in our lives. It includes: improving the efficiency of machines; </w:t>
            </w:r>
            <w:r w:rsidR="007E611C">
              <w:rPr>
                <w:rFonts w:asciiTheme="minorHAnsi" w:hAnsiTheme="minorHAnsi" w:cs="Calibri"/>
                <w:sz w:val="20"/>
                <w:szCs w:val="20"/>
              </w:rPr>
              <w:t>use of alternative energy resources to offset fossil fuel use; utiliing power appliances used at home and</w:t>
            </w:r>
            <w:r w:rsidR="000A7C1A">
              <w:rPr>
                <w:rFonts w:asciiTheme="minorHAnsi" w:hAnsiTheme="minorHAnsi" w:cs="Calibri"/>
                <w:sz w:val="20"/>
                <w:szCs w:val="20"/>
              </w:rPr>
              <w:t xml:space="preserve"> in</w:t>
            </w:r>
            <w:r w:rsidR="007E611C">
              <w:rPr>
                <w:rFonts w:asciiTheme="minorHAnsi" w:hAnsiTheme="minorHAnsi" w:cs="Calibri"/>
                <w:sz w:val="20"/>
                <w:szCs w:val="20"/>
              </w:rPr>
              <w:t xml:space="preserve"> industry.”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0A7C1A">
        <w:trPr>
          <w:trHeight w:val="1266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0A7C1A" w:rsidRPr="000A7C1A" w:rsidRDefault="000A7C1A" w:rsidP="000A7C1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A7C1A">
              <w:rPr>
                <w:rFonts w:asciiTheme="minorHAnsi" w:hAnsiTheme="minorHAnsi"/>
                <w:sz w:val="20"/>
                <w:szCs w:val="20"/>
                <w:lang w:val="en-GB"/>
              </w:rPr>
              <w:t>Conservation of energy</w:t>
            </w:r>
          </w:p>
          <w:p w:rsidR="000A7C1A" w:rsidRPr="000A7C1A" w:rsidRDefault="000A7C1A" w:rsidP="000A7C1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A7C1A">
              <w:rPr>
                <w:rFonts w:asciiTheme="minorHAnsi" w:hAnsiTheme="minorHAnsi"/>
                <w:sz w:val="20"/>
                <w:szCs w:val="20"/>
                <w:lang w:val="en-GB"/>
              </w:rPr>
              <w:t>Elastic potential energy</w:t>
            </w:r>
          </w:p>
          <w:p w:rsidR="00F5427C" w:rsidRPr="00E35828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0A7C1A">
              <w:rPr>
                <w:rFonts w:asciiTheme="minorHAnsi" w:hAnsiTheme="minorHAnsi"/>
                <w:sz w:val="20"/>
                <w:szCs w:val="20"/>
                <w:lang w:val="en-GB"/>
              </w:rPr>
              <w:t>Energy</w:t>
            </w:r>
          </w:p>
        </w:tc>
        <w:tc>
          <w:tcPr>
            <w:tcW w:w="3847" w:type="dxa"/>
          </w:tcPr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Gravitational Potential energy</w:t>
            </w:r>
          </w:p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Hydroelectric</w:t>
            </w:r>
          </w:p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Joule</w:t>
            </w:r>
          </w:p>
          <w:p w:rsidR="00F5427C" w:rsidRPr="00E35828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Kinetic energy</w:t>
            </w:r>
          </w:p>
        </w:tc>
        <w:tc>
          <w:tcPr>
            <w:tcW w:w="3844" w:type="dxa"/>
          </w:tcPr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Motive power</w:t>
            </w:r>
          </w:p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Power</w:t>
            </w:r>
          </w:p>
          <w:p w:rsidR="000A7C1A" w:rsidRPr="000A7C1A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Renewable energy</w:t>
            </w:r>
          </w:p>
          <w:p w:rsidR="00F5427C" w:rsidRPr="00F0499C" w:rsidRDefault="000A7C1A" w:rsidP="000A7C1A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Solar</w:t>
            </w:r>
          </w:p>
        </w:tc>
        <w:tc>
          <w:tcPr>
            <w:tcW w:w="3846" w:type="dxa"/>
          </w:tcPr>
          <w:p w:rsidR="000A7C1A" w:rsidRPr="000A7C1A" w:rsidRDefault="000A7C1A" w:rsidP="000A7C1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Watt</w:t>
            </w:r>
          </w:p>
          <w:p w:rsidR="000A7C1A" w:rsidRPr="000A7C1A" w:rsidRDefault="000A7C1A" w:rsidP="000A7C1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0A7C1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Wind</w:t>
            </w:r>
          </w:p>
          <w:p w:rsidR="00F5427C" w:rsidRPr="00E35828" w:rsidRDefault="000A7C1A" w:rsidP="000A7C1A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0A7C1A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Work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536"/>
        <w:gridCol w:w="2551"/>
        <w:gridCol w:w="2410"/>
        <w:gridCol w:w="2779"/>
      </w:tblGrid>
      <w:tr w:rsidR="00CE0552" w:rsidRPr="00CA50D9" w:rsidTr="00B53DD6">
        <w:tc>
          <w:tcPr>
            <w:tcW w:w="311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536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2551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410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77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B53DD6">
        <w:trPr>
          <w:trHeight w:val="4170"/>
        </w:trPr>
        <w:tc>
          <w:tcPr>
            <w:tcW w:w="3114" w:type="dxa"/>
          </w:tcPr>
          <w:p w:rsidR="00F5427C" w:rsidRDefault="000A7C1A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3.4.1.7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AE21CF"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/>
                <w:sz w:val="20"/>
                <w:szCs w:val="20"/>
              </w:rPr>
              <w:t>calculate work done and the rate at whic</w:t>
            </w:r>
            <w:r w:rsidR="00F973CB">
              <w:rPr>
                <w:rFonts w:asciiTheme="minorHAnsi" w:hAnsiTheme="minorHAnsi"/>
                <w:sz w:val="20"/>
                <w:szCs w:val="20"/>
              </w:rPr>
              <w:t>h work is done.</w:t>
            </w:r>
          </w:p>
          <w:p w:rsidR="000A7C1A" w:rsidRDefault="000A7C1A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ability to use the area under a Force-displacement graph.</w:t>
            </w:r>
          </w:p>
          <w:p w:rsidR="000A7C1A" w:rsidRPr="000A7C1A" w:rsidRDefault="000A7C1A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0A7C1A">
              <w:rPr>
                <w:rFonts w:asciiTheme="minorHAnsi" w:hAnsiTheme="minorHAnsi" w:cs="Calibri"/>
                <w:color w:val="000000"/>
                <w:sz w:val="20"/>
                <w:szCs w:val="20"/>
              </w:rPr>
              <w:t>Determi</w:t>
            </w:r>
            <w:r w:rsidR="00F973CB">
              <w:rPr>
                <w:rFonts w:asciiTheme="minorHAnsi" w:hAnsiTheme="minorHAnsi" w:cs="Calibri"/>
                <w:color w:val="000000"/>
                <w:sz w:val="20"/>
                <w:szCs w:val="20"/>
              </w:rPr>
              <w:t>ne the efficiencies of machines.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</w:t>
            </w:r>
          </w:p>
          <w:p w:rsidR="000A7C1A" w:rsidRDefault="000A7C1A" w:rsidP="000A7C1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3.4.1.8</w:t>
            </w:r>
            <w:r w:rsidR="00AE21C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I can 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apply the princ</w:t>
            </w:r>
            <w:r w:rsidR="00F973CB">
              <w:rPr>
                <w:rFonts w:asciiTheme="minorHAnsi" w:hAnsiTheme="minorHAnsi" w:cs="Calibri"/>
                <w:color w:val="000000"/>
                <w:sz w:val="20"/>
                <w:szCs w:val="20"/>
              </w:rPr>
              <w:t>iple of conservation of energy.</w:t>
            </w: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  </w:t>
            </w:r>
          </w:p>
          <w:p w:rsidR="000A7C1A" w:rsidRDefault="000A7C1A" w:rsidP="000A7C1A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can calculate the work done against resistive forces in various situations.</w:t>
            </w:r>
          </w:p>
          <w:p w:rsidR="00F973CB" w:rsidRPr="003036CF" w:rsidRDefault="00F973CB" w:rsidP="000A7C1A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I can use the equations of motion and energy relating to renewable resources</w:t>
            </w:r>
          </w:p>
          <w:p w:rsidR="003036CF" w:rsidRPr="003036CF" w:rsidRDefault="003036CF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4536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A7C1A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p.170-181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111279" w:rsidRPr="00111279" w:rsidRDefault="00E20DBB" w:rsidP="00111279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hyperlink r:id="rId6" w:tooltip="Top 10 INCREDIBLE Alternatives to Alternative ENERGY" w:history="1">
              <w:r w:rsidR="00111279" w:rsidRPr="001112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Top 10 INCREDIBLE Alternatives to Alternative ENERGY</w:t>
              </w:r>
            </w:hyperlink>
          </w:p>
          <w:p w:rsidR="00111279" w:rsidRPr="00111279" w:rsidRDefault="00111279" w:rsidP="00111279">
            <w:pPr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(2) </w:t>
            </w:r>
            <w:hyperlink r:id="rId7" w:tooltip="Conservation of Energy | Physics – Wonders of Life" w:history="1">
              <w:r w:rsidRPr="00111279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  <w:lang w:val="en-GB"/>
                </w:rPr>
                <w:t>Conservation of Energy | Physics – Wonders of Life</w:t>
              </w:r>
            </w:hyperlink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DC7F42" w:rsidRDefault="00677CAE" w:rsidP="00F5427C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11279" w:rsidRPr="00111279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https://physicsworld.com/a/renewable-energy-has-space-to-grow/</w:t>
              </w:r>
            </w:hyperlink>
          </w:p>
          <w:p w:rsidR="00111279" w:rsidRDefault="00111279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11279" w:rsidRPr="00EC2831" w:rsidRDefault="00111279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6B2C" w:rsidRPr="00A63365" w:rsidRDefault="009A6B2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EC2831" w:rsidRDefault="00EC2831" w:rsidP="00111279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111279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the energy losses in a falling ping-pong ball</w:t>
            </w:r>
          </w:p>
          <w:p w:rsidR="00B53DD6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 w:rsidR="00111279">
              <w:rPr>
                <w:rFonts w:asciiTheme="minorHAnsi" w:eastAsia="Nanum Gothic" w:hAnsiTheme="minorHAnsi" w:cstheme="minorHAnsi"/>
                <w:sz w:val="20"/>
                <w:szCs w:val="20"/>
              </w:rPr>
              <w:t>Determine the efficiency of an electric motor</w:t>
            </w:r>
          </w:p>
          <w:p w:rsidR="00111279" w:rsidRDefault="00111279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B53DD6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</w:t>
            </w:r>
            <w:r w:rsidR="00F5427C"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Pr="00E35828" w:rsidRDefault="00B53DD6" w:rsidP="00B53DD6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Minitest on </w:t>
            </w:r>
            <w:r w:rsidR="00781B17">
              <w:rPr>
                <w:rFonts w:asciiTheme="minorHAnsi" w:eastAsia="Nanum Gothic" w:hAnsiTheme="minorHAnsi" w:cstheme="minorHAnsi"/>
                <w:sz w:val="20"/>
                <w:szCs w:val="20"/>
              </w:rPr>
              <w:t>Energy (1</w:t>
            </w:r>
            <w:r w:rsidR="00781B17" w:rsidRPr="00781B17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st</w:t>
            </w:r>
            <w:r w:rsidR="00781B1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Jan)</w:t>
            </w:r>
          </w:p>
        </w:tc>
        <w:tc>
          <w:tcPr>
            <w:tcW w:w="2410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111279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the different types of renewable energy and their advantages and disadvantages</w:t>
            </w:r>
          </w:p>
          <w:p w:rsidR="00111279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111279">
              <w:rPr>
                <w:rFonts w:asciiTheme="minorHAnsi" w:eastAsia="Nanum Gothic" w:hAnsiTheme="minorHAnsi" w:cstheme="minorHAnsi"/>
                <w:sz w:val="20"/>
                <w:szCs w:val="20"/>
              </w:rPr>
              <w:t>Devise an experiment to find out the efficiency of an electric motor and how to reduce energy losses</w:t>
            </w:r>
          </w:p>
          <w:p w:rsidR="00B11107" w:rsidRPr="00E35828" w:rsidRDefault="00B1110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779" w:type="dxa"/>
          </w:tcPr>
          <w:p w:rsidR="00630DAE" w:rsidRDefault="00EC2831" w:rsidP="00111279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630DAE">
              <w:rPr>
                <w:rFonts w:asciiTheme="minorHAnsi" w:eastAsia="Times New Roman" w:hAnsiTheme="minorHAnsi" w:cs="Tahoma"/>
                <w:sz w:val="20"/>
                <w:szCs w:val="20"/>
              </w:rPr>
              <w:t>Dungeness B power station</w:t>
            </w:r>
          </w:p>
          <w:p w:rsidR="00141BDA" w:rsidRDefault="00630DAE" w:rsidP="00111279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visiting </w:t>
            </w:r>
            <w:proofErr w:type="spellStart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centre</w:t>
            </w:r>
            <w:proofErr w:type="spellEnd"/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6E6966" w:rsidRPr="00677CAE" w:rsidRDefault="00677CAE" w:rsidP="006E6966">
            <w:pPr>
              <w:shd w:val="clear" w:color="auto" w:fill="FFFFFF"/>
              <w:outlineLvl w:val="1"/>
              <w:rPr>
                <w:rFonts w:asciiTheme="minorHAnsi" w:eastAsia="Times New Roman" w:hAnsiTheme="minorHAnsi" w:cs="Arial"/>
                <w:bCs/>
                <w:color w:val="4472C4" w:themeColor="accent5"/>
                <w:sz w:val="20"/>
                <w:szCs w:val="20"/>
                <w:lang w:val="en-GB" w:eastAsia="en-GB"/>
              </w:rPr>
            </w:pPr>
            <w:hyperlink r:id="rId9" w:history="1">
              <w:r w:rsidR="006E6966" w:rsidRPr="00677CAE">
                <w:rPr>
                  <w:rFonts w:asciiTheme="minorHAnsi" w:eastAsia="Times New Roman" w:hAnsiTheme="minorHAnsi" w:cs="Arial"/>
                  <w:bCs/>
                  <w:color w:val="4472C4" w:themeColor="accent5"/>
                  <w:sz w:val="20"/>
                  <w:szCs w:val="20"/>
                  <w:u w:val="single"/>
                  <w:lang w:val="en-GB" w:eastAsia="en-GB"/>
                </w:rPr>
                <w:t>There Is No Planet B: A Handbook for the Make or Break Years</w:t>
              </w:r>
            </w:hyperlink>
          </w:p>
          <w:p w:rsidR="006E6966" w:rsidRPr="006E6966" w:rsidRDefault="006E6966" w:rsidP="006E6966">
            <w:pPr>
              <w:shd w:val="clear" w:color="auto" w:fill="FFFFFF"/>
              <w:outlineLvl w:val="1"/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</w:pPr>
            <w:r w:rsidRPr="006E6966">
              <w:rPr>
                <w:rFonts w:asciiTheme="minorHAnsi" w:eastAsia="Times New Roman" w:hAnsiTheme="minorHAnsi" w:cs="Arial"/>
                <w:sz w:val="20"/>
                <w:szCs w:val="20"/>
                <w:lang w:val="en-GB" w:eastAsia="en-GB"/>
              </w:rPr>
              <w:t>by </w:t>
            </w:r>
            <w:hyperlink r:id="rId10" w:history="1">
              <w:r w:rsidRPr="006E6966">
                <w:rPr>
                  <w:rFonts w:asciiTheme="minorHAnsi" w:eastAsia="Times New Roman" w:hAnsiTheme="minorHAnsi" w:cs="Arial"/>
                  <w:color w:val="0066C0"/>
                  <w:sz w:val="20"/>
                  <w:szCs w:val="20"/>
                  <w:lang w:val="en-GB" w:eastAsia="en-GB"/>
                </w:rPr>
                <w:t>Mike Berners-Lee </w:t>
              </w:r>
            </w:hyperlink>
          </w:p>
          <w:p w:rsidR="006E6966" w:rsidRPr="006E6966" w:rsidRDefault="00677CAE" w:rsidP="006E6966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6E6966" w:rsidRPr="006E6966">
                <w:rPr>
                  <w:rStyle w:val="Hyperlink"/>
                  <w:rFonts w:asciiTheme="minorHAnsi" w:eastAsia="Times New Roman" w:hAnsiTheme="minorHAnsi" w:cs="Tahoma"/>
                  <w:b/>
                  <w:bCs/>
                  <w:i/>
                  <w:iCs/>
                  <w:sz w:val="20"/>
                  <w:szCs w:val="20"/>
                  <w:lang w:val="en-GB"/>
                </w:rPr>
                <w:br/>
              </w:r>
            </w:hyperlink>
          </w:p>
          <w:p w:rsidR="00630DAE" w:rsidRPr="00777FD5" w:rsidRDefault="00630DAE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CA50D9" w:rsidRPr="00E35828" w:rsidRDefault="00CA50D9">
      <w:pPr>
        <w:rPr>
          <w:rFonts w:asciiTheme="minorHAnsi" w:eastAsia="Nanum Gothic" w:hAnsiTheme="minorHAnsi" w:cstheme="minorHAnsi"/>
          <w:sz w:val="20"/>
          <w:szCs w:val="20"/>
        </w:rPr>
      </w:pPr>
    </w:p>
    <w:p w:rsidR="00A63365" w:rsidRPr="00CA50D9" w:rsidRDefault="00A6336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880D73" w:rsidRDefault="00880D73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lastRenderedPageBreak/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3F37"/>
    <w:rsid w:val="00007A7E"/>
    <w:rsid w:val="0005386E"/>
    <w:rsid w:val="00064326"/>
    <w:rsid w:val="00070983"/>
    <w:rsid w:val="000A7C1A"/>
    <w:rsid w:val="000C49D3"/>
    <w:rsid w:val="0011066B"/>
    <w:rsid w:val="00111279"/>
    <w:rsid w:val="001252D3"/>
    <w:rsid w:val="00141BDA"/>
    <w:rsid w:val="00143ACD"/>
    <w:rsid w:val="00151AF6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36CF"/>
    <w:rsid w:val="003126A3"/>
    <w:rsid w:val="00314127"/>
    <w:rsid w:val="00323257"/>
    <w:rsid w:val="0035246E"/>
    <w:rsid w:val="003976A5"/>
    <w:rsid w:val="003B3E7D"/>
    <w:rsid w:val="003C30CC"/>
    <w:rsid w:val="003C7D1C"/>
    <w:rsid w:val="004003FC"/>
    <w:rsid w:val="00406CED"/>
    <w:rsid w:val="00416663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30DAE"/>
    <w:rsid w:val="00651037"/>
    <w:rsid w:val="006510C9"/>
    <w:rsid w:val="00670F28"/>
    <w:rsid w:val="00677CAE"/>
    <w:rsid w:val="00683A27"/>
    <w:rsid w:val="00693DB8"/>
    <w:rsid w:val="0069582A"/>
    <w:rsid w:val="006A1B82"/>
    <w:rsid w:val="006D1E80"/>
    <w:rsid w:val="006E6966"/>
    <w:rsid w:val="006F1789"/>
    <w:rsid w:val="006F7E07"/>
    <w:rsid w:val="00700F58"/>
    <w:rsid w:val="007023B8"/>
    <w:rsid w:val="00707FE1"/>
    <w:rsid w:val="0071520A"/>
    <w:rsid w:val="007408EC"/>
    <w:rsid w:val="00771A7E"/>
    <w:rsid w:val="00777FD5"/>
    <w:rsid w:val="00781B17"/>
    <w:rsid w:val="007B18DC"/>
    <w:rsid w:val="007B2371"/>
    <w:rsid w:val="007C2927"/>
    <w:rsid w:val="007D67D2"/>
    <w:rsid w:val="007E611C"/>
    <w:rsid w:val="007E7124"/>
    <w:rsid w:val="008455CC"/>
    <w:rsid w:val="00853069"/>
    <w:rsid w:val="00880D73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B7FA4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23EEE"/>
    <w:rsid w:val="00C27C55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A1D64"/>
    <w:rsid w:val="00DB23D3"/>
    <w:rsid w:val="00DC7F42"/>
    <w:rsid w:val="00DE12F8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228"/>
    <w:rsid w:val="00F0499C"/>
    <w:rsid w:val="00F06F6F"/>
    <w:rsid w:val="00F14F0B"/>
    <w:rsid w:val="00F3288E"/>
    <w:rsid w:val="00F5427C"/>
    <w:rsid w:val="00F75A39"/>
    <w:rsid w:val="00F831C7"/>
    <w:rsid w:val="00F936D8"/>
    <w:rsid w:val="00F973CB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69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2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6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73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3893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world.com/a/renewable-energy-has-space-to-gro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XXFtF8Lz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VOUE4sFMuw" TargetMode="External"/><Relationship Id="rId11" Type="http://schemas.openxmlformats.org/officeDocument/2006/relationships/hyperlink" Target="https://www.amazon.co.uk/product-reviews/1108439586/ref=acr_dplitb_text?ie=UTF8&amp;showViewpoints=1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amazon.co.uk/Mike-Berners-Lee/e/B004ULUALY?ref=sr_ntt_srch_lnk_8&amp;qid=1594286069&amp;sr=1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There-No-Planet-Handbook-Break/dp/1108439586/ref=sr_1_8?crid=LQYKLWKSZ5ZY&amp;dchild=1&amp;keywords=energy+systems+and+sustainability+power+for+a+sustainable+future&amp;qid=1594286069&amp;s=books&amp;sprefix=energy+and+power%2Cstripbooks%2C174&amp;sr=1-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11</cp:revision>
  <cp:lastPrinted>2019-10-15T13:14:00Z</cp:lastPrinted>
  <dcterms:created xsi:type="dcterms:W3CDTF">2020-06-26T13:55:00Z</dcterms:created>
  <dcterms:modified xsi:type="dcterms:W3CDTF">2020-07-09T14:22:00Z</dcterms:modified>
</cp:coreProperties>
</file>