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Calibri" w:cs="Calibri" w:eastAsia="Calibri" w:hAnsi="Calibri"/>
          <w:b w:val="1"/>
          <w:sz w:val="22.080001831054688"/>
          <w:szCs w:val="22.080001831054688"/>
        </w:rPr>
      </w:pPr>
      <w:r w:rsidDel="00000000" w:rsidR="00000000" w:rsidRPr="00000000">
        <w:rPr/>
        <w:drawing>
          <wp:inline distB="114300" distT="114300" distL="114300" distR="114300">
            <wp:extent cx="954976" cy="10218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4976" cy="1021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u w:val="single"/>
          <w:rtl w:val="0"/>
        </w:rPr>
        <w:t xml:space="preserve">Geography A Level Learning Journey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20.166397094727" w:right="0" w:firstLine="0"/>
        <w:jc w:val="left"/>
        <w:rPr>
          <w:rFonts w:ascii="Calibri" w:cs="Calibri" w:eastAsia="Calibri" w:hAnsi="Calibri"/>
          <w:b w:val="1"/>
          <w:sz w:val="22.080001831054688"/>
          <w:szCs w:val="22.0800018310546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20.166397094727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Year 12 Tectonics Checklist</w:t>
      </w:r>
    </w:p>
    <w:tbl>
      <w:tblPr>
        <w:tblStyle w:val="Table1"/>
        <w:tblW w:w="10828.79981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88.799819946289"/>
        <w:gridCol w:w="508.800048828125"/>
        <w:gridCol w:w="513.599853515625"/>
        <w:gridCol w:w="508.800048828125"/>
        <w:gridCol w:w="508.800048828125"/>
        <w:tblGridChange w:id="0">
          <w:tblGrid>
            <w:gridCol w:w="8788.799819946289"/>
            <w:gridCol w:w="508.800048828125"/>
            <w:gridCol w:w="513.599853515625"/>
            <w:gridCol w:w="508.800048828125"/>
            <w:gridCol w:w="508.800048828125"/>
          </w:tblGrid>
        </w:tblGridChange>
      </w:tblGrid>
      <w:tr>
        <w:trPr>
          <w:cantSplit w:val="0"/>
          <w:trHeight w:val="114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7.932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.729736328125" w:line="240" w:lineRule="auto"/>
              <w:ind w:left="0" w:right="137.932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.562255859375" w:line="240" w:lineRule="auto"/>
              <w:ind w:left="0" w:right="138.090209960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.639404296875" w:line="240" w:lineRule="auto"/>
              <w:ind w:left="0" w:right="137.932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.8056640625" w:line="240" w:lineRule="auto"/>
              <w:ind w:left="0" w:right="138.882446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☺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.15999984741211"/>
                <w:szCs w:val="32.15999984741211"/>
                <w:u w:val="none"/>
                <w:shd w:fill="auto" w:val="clear"/>
                <w:vertAlign w:val="baseline"/>
                <w:rtl w:val="0"/>
              </w:rPr>
              <w:t xml:space="preserve">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38.566894531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.4453125" w:line="240" w:lineRule="auto"/>
              <w:ind w:left="0" w:right="138.881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.6552734375" w:line="240" w:lineRule="auto"/>
              <w:ind w:left="0" w:right="137.932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411865234375" w:line="240" w:lineRule="auto"/>
              <w:ind w:left="0" w:right="138.881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.330322265625" w:line="240" w:lineRule="auto"/>
              <w:ind w:left="0" w:right="137.932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411865234375" w:line="240" w:lineRule="auto"/>
              <w:ind w:left="0" w:right="138.881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.993408203125" w:line="240" w:lineRule="auto"/>
              <w:ind w:left="0" w:right="138.881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.744384765625" w:line="240" w:lineRule="auto"/>
              <w:ind w:left="0" w:right="137.9321289062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.407470703125" w:line="240" w:lineRule="auto"/>
              <w:ind w:left="0" w:right="138.88183593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R</w:t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038024902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Why are some locations more at risk from tectonic hazards?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74841308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1.1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The global distribution of tectonic hazards can be explained by plate boundary and other tectonic processes.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and explain the global distribution of earthquakes, volcanic eruptions and tsunamis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the distribution of plate boundaries (divergent, convergent and conservative)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cause of intra- plate earthquakes and volcanoes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74841308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There are theoretical frameworks that attempt to explain plate movements.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94108581543" w:lineRule="auto"/>
              <w:ind w:left="122.49595642089844" w:right="784.298095703125" w:firstLine="8.0255889892578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the theory of plate tectonics (internal structure, mantle convection, palaeomagnetism and sea floor  spreading, subduction and slab pull)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the processes operate at different margins (destructive, constructive, collision and transform).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8.8800048828125" w:right="545.8514404296875" w:firstLine="1.64154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physical processes can impact upon the: 1) magnitude of volcanic eruptions 2) type of eruption 3)  magnitude of earthquakes 4)earthquake focal depth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748413085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1.3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Physical processes explain the causes of tectonic hazards.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3.40797424316406" w:right="357.4609375" w:firstLine="7.11357116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P, S and L waves cause crustal fracturing, ground shaking and secondary hazards such as liquefaction  and landslides.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8.8800048828125" w:right="376.3232421875" w:firstLine="1.641540527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volcanoes cause lava flows, pyroclastic flows, ash falls, gas eruptions, and secondary hazards such as  lahars, jökulhlaup.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119.94239807128906" w:right="515.4052734375" w:firstLine="10.5791473388671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tsunamis can be caused by sub-marine earthquakes at subduction zones as a result of sea-bed and  water column displacement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03802490234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Why do some tectonic hazards develop into disasters?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94108581543" w:lineRule="auto"/>
              <w:ind w:left="121.94877624511719" w:right="665.3277587890625" w:firstLine="6.383972167968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1.4 Disaster occurrence can be explained by the relationship between hazards, vulnerability, resilience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disaster.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Define the difference between a hazard and a natural disaster.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the importance of vulnerability and a community’s threshold for resilience the hazard risk equation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3.22555541992188" w:right="136.28662109375" w:firstLine="7.29598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the Pressure and Release model (PAR) and the complex inter-relationships between the hazard and its wider  context.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8.8800048828125" w:right="102.9541015625" w:hanging="10.5792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Analyse the social and economic impact of tectonic hazards on the people, economy and environment of contrasting  locations in the developed, emerging and developing world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6.5087890625" w:right="333.0224609375" w:firstLine="1.8239593505859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1.5 Tectonic hazard profiles are important to an understanding of contrasting hazard impacts, vulnerability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resilience.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30.52154541015625" w:right="294.268798828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the magnitude and intensity of tectonic hazards is measured using different scales (Mercalli, Moment  Magnitude Scale (MMS) and Volcanic Explosivity Index (VEI)).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3.77273559570312" w:right="432.108154296875" w:hanging="5.47195434570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Analyse the characteristics of earthquakes, volcanoes and tsunamis (magnitude, speed of onset and areal extent, duration, frequency, spatial predictability) through hazard profiles.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8895187378" w:lineRule="auto"/>
              <w:ind w:left="123.40797424316406" w:right="789.173583984375" w:hanging="5.10719299316406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Analyse the range of profiles of earthquake, volcano and tsunami events showing the severity of social and  economic impact in developed, emerging and developing countries.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1.6 Development and governance are important in understanding disaster impact and vulnerability and resilience.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8.8800048828125" w:right="666.5020751953125" w:hanging="10.5792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Analyse the impact of access to education, housing, healthcare and income opportunities on vulnerability and resilience.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8.33274841308594" w:right="122.186279296875" w:hanging="10.03196716308593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Analyse the impact of governance and geographical factors (population density, isolation and accessibility, degree of  urbanisation) on vulnerability and a community’s resilience.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98413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8.8800048828125" w:right="539.815673828125" w:hanging="10.5792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Analyse contrasting hazard events in developed, emerging and developing countries to show the interaction of  physical factors and the significance of context in influencing the scale of disaster.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7855682373046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How successful is the management of tectonic hazards and disasters?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327484130859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1.7 Understanding the complex trends and patterns for tectonic disasters helps explain differential impacts.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3.22555541992188" w:right="116.3983154296875" w:firstLine="7.29598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Describe tectonic disaster trends since 1960 (number of deaths, numbers affected, level of economic damage) in the  context of overall disaster trends.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.5996704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Analyse the accuracy and reliability of the hazard data.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72421264648" w:lineRule="auto"/>
              <w:ind w:left="127.05596923828125" w:right="218.427734375" w:firstLine="3.4655761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how tectonic mega-disasters can have regional or even global significance in terms of economic and human  impacts.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3.22555541992188" w:right="500.755615234375" w:firstLine="7.29598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Explain the concept of a multiple-hazard zone and explain how linked hydrometeorological hazards sometimes  contribute to a tectonic disaster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98413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23148345947" w:lineRule="auto"/>
              <w:ind w:left="126.5087890625" w:right="569.202880859375" w:firstLine="1.8239593505859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1.8 Theoretical frameworks can be used to understand the predication, impact and management of tectonic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hazards.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.40008544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5215454101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Explain how prediction and forecasting accuracy depends on the type of location of the tectonic hazard.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94934082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78945159912" w:lineRule="auto"/>
              <w:ind w:left="128.8800048828125" w:right="543.75" w:hanging="10.5792236328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Analyse the importance of of different stages in the hazard management cycle (response, recovery, mitigation,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preparedness).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6.74704551696777" w:lineRule="auto"/>
              <w:ind w:left="123.22555541992188" w:right="92.930908203125" w:firstLine="7.2959899902343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Explain the use of Park’s Model to compare the response curve of hazard events, comparing areas at different stages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of development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20010375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78945159912" w:lineRule="auto"/>
              <w:ind w:left="117.20634460449219" w:right="339.0155029296875" w:firstLine="11.12640380859375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1.9 Tectonic hazard impacts can be managed by a variety of mitigation and adaptation strategies, which vary in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  <w:rtl w:val="0"/>
              </w:rPr>
              <w:t xml:space="preserve">their effectiveness.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bfbfbf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28.79981994628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88.799819946289"/>
        <w:gridCol w:w="508.800048828125"/>
        <w:gridCol w:w="513.599853515625"/>
        <w:gridCol w:w="508.800048828125"/>
        <w:gridCol w:w="508.800048828125"/>
        <w:tblGridChange w:id="0">
          <w:tblGrid>
            <w:gridCol w:w="8788.799819946289"/>
            <w:gridCol w:w="508.800048828125"/>
            <w:gridCol w:w="513.599853515625"/>
            <w:gridCol w:w="508.800048828125"/>
            <w:gridCol w:w="508.800048828125"/>
          </w:tblGrid>
        </w:tblGridChange>
      </w:tblGrid>
      <w:tr>
        <w:trPr>
          <w:cantSplit w:val="0"/>
          <w:trHeight w:val="4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806617736816" w:lineRule="auto"/>
              <w:ind w:left="123.77273559570312" w:right="97.81494140625" w:firstLine="6.74880981445312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Evaluate the use of strategies to modify the event include land-use zoning, hazard – resistant design and engineering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defences as well as diversion of lava flows.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94108581543" w:lineRule="auto"/>
              <w:ind w:left="123.40797424316406" w:right="769.971923828125" w:firstLine="7.113571166992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Evaluated the use of strategies to modify vulnerability and resilience include hi-tech monitoring, prediction,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education, community preparedness and adaptation.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0094108581543" w:lineRule="auto"/>
              <w:ind w:left="130.52154541015625" w:right="140.670776367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Evaluate the use of strategies to modify loss include emergency, short- and longer-term aid and insurance (P: role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  <w:rtl w:val="0"/>
              </w:rPr>
              <w:t xml:space="preserve">NGOs and insurers) and the actions of affected communities themselves.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.240001678466797"/>
                <w:szCs w:val="18.240001678466797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904.0003967285156" w:top="710.399169921875" w:left="604.8000335693359" w:right="466.40014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