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D5" w:rsidRDefault="00ED03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6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D03D5">
        <w:trPr>
          <w:trHeight w:val="187"/>
        </w:trPr>
        <w:tc>
          <w:tcPr>
            <w:tcW w:w="2972" w:type="dxa"/>
            <w:shd w:val="clear" w:color="auto" w:fill="FFF2CC"/>
          </w:tcPr>
          <w:p w:rsidR="00ED03D5" w:rsidRDefault="00F86CA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13 Term 3  BTEC 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ED03D5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ED03D5" w:rsidRDefault="00F86C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Enquiry Questions: Is versatility overrated as a skill?</w:t>
            </w:r>
          </w:p>
        </w:tc>
      </w:tr>
      <w:tr w:rsidR="00ED03D5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ED03D5" w:rsidRDefault="00F86CA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27: Work Experience in Business</w:t>
            </w:r>
          </w:p>
          <w:p w:rsidR="00ED03D5" w:rsidRDefault="00F86CA5">
            <w:pPr>
              <w:spacing w:after="0" w:line="240" w:lineRule="auto"/>
              <w:rPr>
                <w:sz w:val="24"/>
                <w:szCs w:val="24"/>
              </w:rPr>
            </w:pPr>
            <w:r>
              <w:t>In this practical unit, you will learn about different types of work-related learning and their benefits. You will learn what information you need before starting the placement, and how the placement can help you to develop key competencies needed for empl</w:t>
            </w:r>
            <w:r>
              <w:t xml:space="preserve">oyability, such as self-management, team working, problem-solving and communication skills. You will learn more about the expectations of different roles. You will research and take on relevant work experience. </w:t>
            </w:r>
          </w:p>
        </w:tc>
      </w:tr>
      <w:tr w:rsidR="00ED03D5">
        <w:trPr>
          <w:trHeight w:val="326"/>
        </w:trPr>
        <w:tc>
          <w:tcPr>
            <w:tcW w:w="2972" w:type="dxa"/>
            <w:shd w:val="clear" w:color="auto" w:fill="auto"/>
          </w:tcPr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Application/Skills</w:t>
            </w:r>
          </w:p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ED03D5" w:rsidRDefault="00F8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ED03D5" w:rsidRDefault="00ED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ED03D5">
        <w:trPr>
          <w:trHeight w:val="2089"/>
        </w:trPr>
        <w:tc>
          <w:tcPr>
            <w:tcW w:w="2972" w:type="dxa"/>
          </w:tcPr>
          <w:p w:rsidR="00ED03D5" w:rsidRDefault="00F86CA5">
            <w:pPr>
              <w:numPr>
                <w:ilvl w:val="0"/>
                <w:numId w:val="1"/>
              </w:numPr>
              <w:spacing w:after="0" w:line="240" w:lineRule="auto"/>
            </w:pPr>
            <w:r>
              <w:t>A1  Work-related learning</w:t>
            </w:r>
          </w:p>
          <w:p w:rsidR="00ED03D5" w:rsidRDefault="00F86CA5">
            <w:pPr>
              <w:numPr>
                <w:ilvl w:val="0"/>
                <w:numId w:val="1"/>
              </w:numPr>
              <w:spacing w:after="0" w:line="240" w:lineRule="auto"/>
            </w:pPr>
            <w:r>
              <w:t>A2  Outcomes and benefits of work experience</w:t>
            </w:r>
          </w:p>
          <w:p w:rsidR="00ED03D5" w:rsidRDefault="00F86CA5">
            <w:pPr>
              <w:numPr>
                <w:ilvl w:val="0"/>
                <w:numId w:val="1"/>
              </w:numPr>
              <w:spacing w:after="0" w:line="240" w:lineRule="auto"/>
            </w:pPr>
            <w:r>
              <w:t>A3  Planning for work experience</w:t>
            </w:r>
          </w:p>
          <w:p w:rsidR="00ED03D5" w:rsidRDefault="00F86CA5">
            <w:pPr>
              <w:numPr>
                <w:ilvl w:val="0"/>
                <w:numId w:val="1"/>
              </w:numPr>
              <w:spacing w:after="0" w:line="240" w:lineRule="auto"/>
            </w:pPr>
            <w:r>
              <w:t>B1 Induction</w:t>
            </w:r>
          </w:p>
          <w:p w:rsidR="00ED03D5" w:rsidRDefault="00F86CA5">
            <w:pPr>
              <w:numPr>
                <w:ilvl w:val="0"/>
                <w:numId w:val="1"/>
              </w:numPr>
              <w:spacing w:after="0" w:line="240" w:lineRule="auto"/>
            </w:pPr>
            <w:r>
              <w:t>B2 Role and tasks</w:t>
            </w:r>
          </w:p>
          <w:p w:rsidR="00ED03D5" w:rsidRDefault="00F86CA5">
            <w:pPr>
              <w:numPr>
                <w:ilvl w:val="0"/>
                <w:numId w:val="1"/>
              </w:numPr>
              <w:spacing w:after="0" w:line="240" w:lineRule="auto"/>
            </w:pPr>
            <w:r>
              <w:t>B3 Working safely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</w:tc>
        <w:tc>
          <w:tcPr>
            <w:tcW w:w="2368" w:type="dxa"/>
          </w:tcPr>
          <w:p w:rsidR="00ED03D5" w:rsidRDefault="00F86CA5">
            <w:pPr>
              <w:spacing w:after="0" w:line="240" w:lineRule="auto"/>
            </w:pPr>
            <w:r>
              <w:t>Evaluate the effectiveness of the business’s induction and health and safety practice, making recommendations for improvement.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t>Evaluate how preparing for work experience can support your understanding of the workplace and appropriate career opportunities.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t>Analyse the importance of carrying out your role in a safe and appropriate manner.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lastRenderedPageBreak/>
              <w:t>Analyse the benefits of work experience an</w:t>
            </w:r>
            <w:r>
              <w:t>d how it can support you in gaining a realistic understanding of opportunities in business.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t>Describe in your logbook the activities you undertook in the workplace.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t>Complete a logbook which explains your role in a selected appropriate work experience.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t>Ex</w:t>
            </w:r>
            <w:r>
              <w:t>plain your preparation for a selected work experience opportunity.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t>Describe three realistic opportunities for work experience in business and how each can prepare you for the workplace.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</w:tc>
        <w:tc>
          <w:tcPr>
            <w:tcW w:w="1780" w:type="dxa"/>
          </w:tcPr>
          <w:p w:rsidR="00ED03D5" w:rsidRDefault="00F86CA5">
            <w:pPr>
              <w:spacing w:after="0" w:line="240" w:lineRule="auto"/>
            </w:pPr>
            <w:r>
              <w:lastRenderedPageBreak/>
              <w:t>Voluntary work</w:t>
            </w:r>
          </w:p>
          <w:p w:rsidR="00ED03D5" w:rsidRDefault="00F86CA5">
            <w:pPr>
              <w:spacing w:after="0" w:line="240" w:lineRule="auto"/>
            </w:pPr>
            <w:r>
              <w:t xml:space="preserve">Part-time work </w:t>
            </w:r>
          </w:p>
          <w:p w:rsidR="00ED03D5" w:rsidRDefault="00F86CA5">
            <w:pPr>
              <w:spacing w:after="0" w:line="240" w:lineRule="auto"/>
            </w:pPr>
            <w:r>
              <w:t xml:space="preserve">Networking </w:t>
            </w:r>
          </w:p>
          <w:p w:rsidR="00ED03D5" w:rsidRDefault="00F86CA5">
            <w:pPr>
              <w:spacing w:after="0" w:line="240" w:lineRule="auto"/>
            </w:pPr>
            <w:r>
              <w:t xml:space="preserve">In-house training </w:t>
            </w:r>
          </w:p>
          <w:p w:rsidR="00ED03D5" w:rsidRDefault="00F86CA5">
            <w:pPr>
              <w:spacing w:after="0" w:line="240" w:lineRule="auto"/>
            </w:pPr>
            <w:r>
              <w:t xml:space="preserve">Induction training </w:t>
            </w:r>
          </w:p>
          <w:p w:rsidR="00ED03D5" w:rsidRDefault="00F86CA5">
            <w:pPr>
              <w:spacing w:after="0" w:line="240" w:lineRule="auto"/>
            </w:pPr>
            <w:r>
              <w:t xml:space="preserve">Health and safety </w:t>
            </w:r>
          </w:p>
          <w:p w:rsidR="00ED03D5" w:rsidRDefault="00F86CA5">
            <w:pPr>
              <w:spacing w:after="0" w:line="240" w:lineRule="auto"/>
            </w:pPr>
            <w:r>
              <w:t xml:space="preserve">Confidentiality </w:t>
            </w:r>
          </w:p>
          <w:p w:rsidR="00ED03D5" w:rsidRDefault="00F86CA5">
            <w:pPr>
              <w:spacing w:after="0" w:line="240" w:lineRule="auto"/>
            </w:pPr>
            <w:r>
              <w:t xml:space="preserve">Work shadowing 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</w:tc>
        <w:tc>
          <w:tcPr>
            <w:tcW w:w="1743" w:type="dxa"/>
          </w:tcPr>
          <w:p w:rsidR="00ED03D5" w:rsidRDefault="00F86CA5">
            <w:pPr>
              <w:spacing w:after="0" w:line="240" w:lineRule="auto"/>
            </w:pPr>
            <w:r>
              <w:t>Research of businesses for coursework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t>Completion of coursework</w:t>
            </w:r>
          </w:p>
        </w:tc>
        <w:tc>
          <w:tcPr>
            <w:tcW w:w="1694" w:type="dxa"/>
          </w:tcPr>
          <w:p w:rsidR="00ED03D5" w:rsidRDefault="00F86CA5">
            <w:pPr>
              <w:spacing w:after="0" w:line="240" w:lineRule="auto"/>
            </w:pPr>
            <w:r>
              <w:t xml:space="preserve">Internally assessed coursework, marked  by teacher and moderated </w:t>
            </w:r>
          </w:p>
        </w:tc>
        <w:tc>
          <w:tcPr>
            <w:tcW w:w="1836" w:type="dxa"/>
          </w:tcPr>
          <w:p w:rsidR="00ED03D5" w:rsidRDefault="00F86CA5">
            <w:pPr>
              <w:spacing w:after="0" w:line="240" w:lineRule="auto"/>
            </w:pPr>
            <w:r>
              <w:t>Tutor2u</w:t>
            </w:r>
          </w:p>
          <w:p w:rsidR="00ED03D5" w:rsidRDefault="00F86CA5">
            <w:pPr>
              <w:spacing w:after="0" w:line="240" w:lineRule="auto"/>
            </w:pPr>
            <w:r>
              <w:t>The Guardian</w:t>
            </w:r>
          </w:p>
          <w:p w:rsidR="00ED03D5" w:rsidRDefault="00F86CA5">
            <w:pPr>
              <w:spacing w:after="0" w:line="240" w:lineRule="auto"/>
            </w:pPr>
            <w:r>
              <w:t>Which Magazine</w:t>
            </w:r>
          </w:p>
          <w:p w:rsidR="00ED03D5" w:rsidRDefault="00ED03D5">
            <w:pPr>
              <w:spacing w:after="0" w:line="240" w:lineRule="auto"/>
            </w:pPr>
          </w:p>
          <w:p w:rsidR="00ED03D5" w:rsidRDefault="00ED03D5">
            <w:pPr>
              <w:spacing w:after="0" w:line="240" w:lineRule="auto"/>
            </w:pPr>
          </w:p>
          <w:p w:rsidR="00ED03D5" w:rsidRDefault="00F86CA5">
            <w:pPr>
              <w:spacing w:after="0" w:line="240" w:lineRule="auto"/>
            </w:pPr>
            <w:r>
              <w:t>Linked units notes 1,2, 4 &amp; 8</w:t>
            </w:r>
          </w:p>
          <w:p w:rsidR="00ED03D5" w:rsidRDefault="00ED03D5">
            <w:pPr>
              <w:spacing w:after="0" w:line="240" w:lineRule="auto"/>
            </w:pPr>
          </w:p>
        </w:tc>
        <w:tc>
          <w:tcPr>
            <w:tcW w:w="2264" w:type="dxa"/>
          </w:tcPr>
          <w:p w:rsidR="00ED03D5" w:rsidRDefault="00F86CA5">
            <w:pPr>
              <w:spacing w:after="0" w:line="240" w:lineRule="auto"/>
            </w:pPr>
            <w:r>
              <w:t>Local guest speaker via Zoom</w:t>
            </w:r>
          </w:p>
          <w:p w:rsidR="00ED03D5" w:rsidRDefault="00ED03D5">
            <w:pPr>
              <w:spacing w:after="0" w:line="240" w:lineRule="auto"/>
            </w:pPr>
          </w:p>
        </w:tc>
      </w:tr>
    </w:tbl>
    <w:p w:rsidR="00ED03D5" w:rsidRDefault="00ED03D5"/>
    <w:p w:rsidR="00ED03D5" w:rsidRDefault="00ED03D5"/>
    <w:p w:rsidR="00ED03D5" w:rsidRDefault="00ED03D5"/>
    <w:p w:rsidR="00ED03D5" w:rsidRDefault="00ED03D5"/>
    <w:p w:rsidR="00ED03D5" w:rsidRDefault="00ED03D5"/>
    <w:sectPr w:rsidR="00ED03D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B7F23"/>
    <w:multiLevelType w:val="multilevel"/>
    <w:tmpl w:val="7A1A9E8E"/>
    <w:lvl w:ilvl="0">
      <w:start w:val="1"/>
      <w:numFmt w:val="decimal"/>
      <w:lvlText w:val="%1."/>
      <w:lvlJc w:val="left"/>
      <w:pPr>
        <w:ind w:left="4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D5"/>
    <w:rsid w:val="00ED03D5"/>
    <w:rsid w:val="00F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0A7F4-BE97-4C9E-8879-618E2879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CwnKjTCm/GRuIElqMKPxqC69HQ==">AMUW2mUTG6Ipn+1UvP5geq9+f0ho+VlPDtDUE5nHBmgB61u+meHU9QKRAK+w42rpYLlfAgFJmxqXOx/cfWQnf2tOd7sP3MC8m6I4Ngpf6o+nLEiwykEN0yA=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3F5600BD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Madeha Shamsuddin</dc:creator>
  <cp:lastModifiedBy>Tariq-Ul Haque</cp:lastModifiedBy>
  <cp:revision>2</cp:revision>
  <dcterms:created xsi:type="dcterms:W3CDTF">2022-10-17T09:04:00Z</dcterms:created>
  <dcterms:modified xsi:type="dcterms:W3CDTF">2022-10-17T09:04:00Z</dcterms:modified>
</cp:coreProperties>
</file>