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right" w:tblpY="-920"/>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12"/>
        <w:gridCol w:w="1943"/>
        <w:gridCol w:w="1998"/>
        <w:gridCol w:w="1525"/>
        <w:gridCol w:w="1694"/>
        <w:gridCol w:w="2167"/>
        <w:gridCol w:w="3147"/>
      </w:tblGrid>
      <w:tr w:rsidR="00E25812" w:rsidRPr="0060333B" w14:paraId="59A0AAD5" w14:textId="77777777" w:rsidTr="003654CA">
        <w:trPr>
          <w:trHeight w:val="187"/>
        </w:trPr>
        <w:tc>
          <w:tcPr>
            <w:tcW w:w="3397" w:type="dxa"/>
            <w:gridSpan w:val="2"/>
            <w:shd w:val="clear" w:color="auto" w:fill="FFF2CC" w:themeFill="accent4" w:themeFillTint="33"/>
          </w:tcPr>
          <w:p w14:paraId="094C3899" w14:textId="77777777" w:rsidR="00E25812" w:rsidRDefault="00E25812" w:rsidP="00973C3F">
            <w:pPr>
              <w:pStyle w:val="NoSpacing"/>
              <w:rPr>
                <w:b/>
                <w:bCs/>
                <w:sz w:val="24"/>
                <w:szCs w:val="24"/>
              </w:rPr>
            </w:pPr>
            <w:r w:rsidRPr="00E34905">
              <w:rPr>
                <w:b/>
                <w:bCs/>
                <w:sz w:val="24"/>
                <w:szCs w:val="24"/>
              </w:rPr>
              <w:t xml:space="preserve">Year </w:t>
            </w:r>
            <w:r w:rsidR="006A268B">
              <w:rPr>
                <w:b/>
                <w:bCs/>
                <w:sz w:val="24"/>
                <w:szCs w:val="24"/>
              </w:rPr>
              <w:t>10</w:t>
            </w:r>
            <w:r w:rsidRPr="00E34905">
              <w:rPr>
                <w:b/>
                <w:bCs/>
                <w:sz w:val="24"/>
                <w:szCs w:val="24"/>
              </w:rPr>
              <w:t xml:space="preserve"> Term 1 </w:t>
            </w:r>
          </w:p>
          <w:p w14:paraId="7ACE6B95" w14:textId="4D357111" w:rsidR="006A268B" w:rsidRPr="00E34905" w:rsidRDefault="006A268B" w:rsidP="00973C3F">
            <w:pPr>
              <w:pStyle w:val="NoSpacing"/>
              <w:rPr>
                <w:b/>
                <w:bCs/>
                <w:sz w:val="24"/>
                <w:szCs w:val="24"/>
              </w:rPr>
            </w:pPr>
            <w:r>
              <w:rPr>
                <w:b/>
                <w:bCs/>
                <w:sz w:val="24"/>
                <w:szCs w:val="24"/>
              </w:rPr>
              <w:t>GCSE Computer Science</w:t>
            </w:r>
          </w:p>
        </w:tc>
        <w:tc>
          <w:tcPr>
            <w:tcW w:w="12474" w:type="dxa"/>
            <w:gridSpan w:val="6"/>
            <w:shd w:val="clear" w:color="auto" w:fill="FFF2CC" w:themeFill="accent4" w:themeFillTint="33"/>
          </w:tcPr>
          <w:p w14:paraId="5C02270B" w14:textId="77777777" w:rsidR="00E25812" w:rsidRPr="0071282E" w:rsidRDefault="00E25812" w:rsidP="00973C3F">
            <w:pPr>
              <w:pStyle w:val="NoSpacing"/>
              <w:rPr>
                <w:rFonts w:ascii="Arial" w:hAnsi="Arial" w:cs="Arial"/>
                <w:color w:val="404040"/>
                <w:shd w:val="clear" w:color="auto" w:fill="FFFFFF"/>
              </w:rPr>
            </w:pPr>
            <w:r w:rsidRPr="0071282E">
              <w:rPr>
                <w:rFonts w:ascii="Arial" w:hAnsi="Arial" w:cs="Arial"/>
                <w:color w:val="000000" w:themeColor="text1"/>
                <w:shd w:val="clear" w:color="auto" w:fill="FFF2CC" w:themeFill="accent4" w:themeFillTint="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mission is to stimulate and challenge our students to excel and provide a desire for lifelong learning and pursue</w:t>
            </w:r>
            <w:r w:rsidRPr="0071282E">
              <w:rPr>
                <w:rFonts w:ascii="Arial" w:hAnsi="Arial" w:cs="Arial"/>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1282E">
              <w:rPr>
                <w:rFonts w:ascii="Arial" w:hAnsi="Arial" w:cs="Arial"/>
                <w:color w:val="000000" w:themeColor="text1"/>
                <w:shd w:val="clear" w:color="auto" w:fill="FFF2CC" w:themeFill="accent4" w:themeFillTint="3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careers in the world of Business, Computing, and ICT.</w:t>
            </w:r>
          </w:p>
        </w:tc>
      </w:tr>
      <w:tr w:rsidR="00E25812" w:rsidRPr="0060333B" w14:paraId="76C4ACE5" w14:textId="77777777" w:rsidTr="003654CA">
        <w:trPr>
          <w:trHeight w:val="364"/>
        </w:trPr>
        <w:tc>
          <w:tcPr>
            <w:tcW w:w="15871" w:type="dxa"/>
            <w:gridSpan w:val="8"/>
            <w:shd w:val="clear" w:color="auto" w:fill="FFF2CC" w:themeFill="accent4" w:themeFillTint="33"/>
          </w:tcPr>
          <w:p w14:paraId="03C6A56B" w14:textId="07E20E55" w:rsidR="00E25812" w:rsidRPr="00AE20EE" w:rsidRDefault="00E25812" w:rsidP="00973C3F">
            <w:pPr>
              <w:pStyle w:val="NoSpacing"/>
              <w:rPr>
                <w:b/>
                <w:sz w:val="40"/>
                <w:szCs w:val="40"/>
              </w:rPr>
            </w:pPr>
            <w:r w:rsidRPr="00AE20EE">
              <w:rPr>
                <w:b/>
                <w:sz w:val="40"/>
                <w:szCs w:val="40"/>
              </w:rPr>
              <w:t xml:space="preserve">Enquiry Questions: </w:t>
            </w:r>
            <w:r w:rsidR="0071282E" w:rsidRPr="00AE20EE">
              <w:rPr>
                <w:b/>
                <w:sz w:val="40"/>
                <w:szCs w:val="40"/>
              </w:rPr>
              <w:t xml:space="preserve">Why </w:t>
            </w:r>
            <w:r w:rsidR="001D2B2F" w:rsidRPr="00AE20EE">
              <w:rPr>
                <w:b/>
                <w:sz w:val="40"/>
                <w:szCs w:val="40"/>
              </w:rPr>
              <w:t>don’t</w:t>
            </w:r>
            <w:r w:rsidR="0071282E" w:rsidRPr="00AE20EE">
              <w:rPr>
                <w:b/>
                <w:sz w:val="40"/>
                <w:szCs w:val="40"/>
              </w:rPr>
              <w:t xml:space="preserve"> all electronic devices follow one architecture? </w:t>
            </w:r>
          </w:p>
        </w:tc>
      </w:tr>
      <w:tr w:rsidR="00E25812" w:rsidRPr="005A7068" w14:paraId="48034532" w14:textId="77777777" w:rsidTr="003654CA">
        <w:trPr>
          <w:trHeight w:val="670"/>
        </w:trPr>
        <w:tc>
          <w:tcPr>
            <w:tcW w:w="15871" w:type="dxa"/>
            <w:gridSpan w:val="8"/>
            <w:shd w:val="clear" w:color="auto" w:fill="FFF2CC" w:themeFill="accent4" w:themeFillTint="33"/>
          </w:tcPr>
          <w:p w14:paraId="7229C1C7" w14:textId="79262752" w:rsidR="00E25812" w:rsidRDefault="006A268B" w:rsidP="00973C3F">
            <w:pPr>
              <w:pStyle w:val="NoSpacing"/>
              <w:rPr>
                <w:b/>
                <w:sz w:val="32"/>
                <w:szCs w:val="32"/>
              </w:rPr>
            </w:pPr>
            <w:r>
              <w:rPr>
                <w:b/>
                <w:sz w:val="32"/>
                <w:szCs w:val="32"/>
              </w:rPr>
              <w:t>Component 1</w:t>
            </w:r>
            <w:r w:rsidR="00E25812" w:rsidRPr="005A7068">
              <w:rPr>
                <w:b/>
                <w:sz w:val="32"/>
                <w:szCs w:val="32"/>
              </w:rPr>
              <w:t xml:space="preserve">: </w:t>
            </w:r>
            <w:r>
              <w:rPr>
                <w:rFonts w:cs="Calibri"/>
                <w:b/>
                <w:bCs/>
                <w:color w:val="000000"/>
                <w:sz w:val="32"/>
                <w:szCs w:val="32"/>
              </w:rPr>
              <w:t>Computer Systems</w:t>
            </w:r>
            <w:r w:rsidR="00A17DBA" w:rsidRPr="00A17DBA">
              <w:rPr>
                <w:rFonts w:cs="Calibri"/>
                <w:b/>
                <w:bCs/>
                <w:color w:val="000000"/>
                <w:sz w:val="32"/>
                <w:szCs w:val="32"/>
              </w:rPr>
              <w:t xml:space="preserve"> </w:t>
            </w:r>
          </w:p>
          <w:p w14:paraId="46FBE169" w14:textId="1A72EE6B" w:rsidR="00E25812" w:rsidRPr="005A7068" w:rsidRDefault="006A268B" w:rsidP="00973C3F">
            <w:pPr>
              <w:pStyle w:val="NoSpacing"/>
              <w:rPr>
                <w:b/>
                <w:sz w:val="32"/>
                <w:szCs w:val="32"/>
              </w:rPr>
            </w:pPr>
            <w:r>
              <w:t>Students will understand th</w:t>
            </w:r>
            <w:bookmarkStart w:id="0" w:name="_GoBack"/>
            <w:bookmarkEnd w:id="0"/>
            <w:r>
              <w:t>e components that make up digital systems, and how they communicate with one another and with other systems. They will also recognise the impacts of digital technology to the individual and to wider society. Students also learn computing fundamentals of data and apply mathematical skills relevant to data representation.</w:t>
            </w:r>
          </w:p>
        </w:tc>
      </w:tr>
      <w:tr w:rsidR="00E25812" w:rsidRPr="00157B9C" w14:paraId="0E468A02" w14:textId="77777777" w:rsidTr="00A125AB">
        <w:trPr>
          <w:trHeight w:val="326"/>
        </w:trPr>
        <w:tc>
          <w:tcPr>
            <w:tcW w:w="3085"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255" w:type="dxa"/>
            <w:gridSpan w:val="2"/>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998"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525"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2167"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3147"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A125AB">
        <w:trPr>
          <w:trHeight w:val="2089"/>
        </w:trPr>
        <w:tc>
          <w:tcPr>
            <w:tcW w:w="3085" w:type="dxa"/>
            <w:shd w:val="clear" w:color="auto" w:fill="auto"/>
          </w:tcPr>
          <w:p w14:paraId="42D755DA" w14:textId="3C142DFD" w:rsidR="006A268B" w:rsidRPr="00A125AB" w:rsidRDefault="006A268B" w:rsidP="00B3461A">
            <w:pPr>
              <w:pStyle w:val="ListParagraph"/>
              <w:numPr>
                <w:ilvl w:val="0"/>
                <w:numId w:val="8"/>
              </w:numPr>
              <w:spacing w:after="0" w:line="240" w:lineRule="auto"/>
              <w:ind w:left="426" w:hanging="284"/>
              <w:rPr>
                <w:b/>
                <w:sz w:val="20"/>
                <w:szCs w:val="20"/>
              </w:rPr>
            </w:pPr>
            <w:r w:rsidRPr="00A125AB">
              <w:rPr>
                <w:b/>
                <w:sz w:val="20"/>
                <w:szCs w:val="20"/>
              </w:rPr>
              <w:t xml:space="preserve">Architecture of the CPU </w:t>
            </w:r>
          </w:p>
          <w:p w14:paraId="1DF42440" w14:textId="3E1AED2A" w:rsidR="006A268B" w:rsidRPr="00A125AB" w:rsidRDefault="006A268B" w:rsidP="00B3461A">
            <w:pPr>
              <w:pStyle w:val="ListParagraph"/>
              <w:spacing w:after="0" w:line="240" w:lineRule="auto"/>
              <w:ind w:left="426"/>
              <w:rPr>
                <w:sz w:val="20"/>
                <w:szCs w:val="20"/>
              </w:rPr>
            </w:pPr>
            <w:r w:rsidRPr="00A125AB">
              <w:rPr>
                <w:sz w:val="20"/>
                <w:szCs w:val="20"/>
              </w:rPr>
              <w:t>Students will be defining what is a computer system and recognising common CPU components. Students will also learn about the history of Von Neumann and understand the concept of the FDE Cycle.</w:t>
            </w:r>
          </w:p>
          <w:p w14:paraId="4230F6C1" w14:textId="77777777" w:rsidR="006A268B" w:rsidRPr="00A125AB" w:rsidRDefault="006A268B" w:rsidP="00B3461A">
            <w:pPr>
              <w:spacing w:after="0" w:line="240" w:lineRule="auto"/>
              <w:ind w:left="426" w:hanging="284"/>
              <w:rPr>
                <w:rFonts w:asciiTheme="minorHAnsi" w:hAnsiTheme="minorHAnsi"/>
                <w:b/>
                <w:sz w:val="20"/>
                <w:szCs w:val="20"/>
              </w:rPr>
            </w:pPr>
          </w:p>
          <w:p w14:paraId="74E667D6" w14:textId="2A094A9D" w:rsidR="006A268B" w:rsidRPr="00A125AB" w:rsidRDefault="006A268B" w:rsidP="00B3461A">
            <w:pPr>
              <w:pStyle w:val="ListParagraph"/>
              <w:numPr>
                <w:ilvl w:val="0"/>
                <w:numId w:val="8"/>
              </w:numPr>
              <w:spacing w:after="0" w:line="240" w:lineRule="auto"/>
              <w:ind w:left="426" w:hanging="284"/>
              <w:rPr>
                <w:b/>
                <w:sz w:val="20"/>
                <w:szCs w:val="20"/>
              </w:rPr>
            </w:pPr>
            <w:r w:rsidRPr="00A125AB">
              <w:rPr>
                <w:b/>
                <w:sz w:val="20"/>
                <w:szCs w:val="20"/>
              </w:rPr>
              <w:t xml:space="preserve">CPU Performance </w:t>
            </w:r>
          </w:p>
          <w:p w14:paraId="41802C9F" w14:textId="5A308596" w:rsidR="006A268B" w:rsidRPr="00A125AB" w:rsidRDefault="006A268B" w:rsidP="00B3461A">
            <w:pPr>
              <w:pStyle w:val="ListParagraph"/>
              <w:spacing w:after="0" w:line="240" w:lineRule="auto"/>
              <w:ind w:left="426"/>
              <w:rPr>
                <w:sz w:val="20"/>
                <w:szCs w:val="20"/>
              </w:rPr>
            </w:pPr>
            <w:r w:rsidRPr="00A125AB">
              <w:rPr>
                <w:sz w:val="20"/>
                <w:szCs w:val="20"/>
              </w:rPr>
              <w:t xml:space="preserve">Learning about the performance factors of a CPU and identify suitable </w:t>
            </w:r>
          </w:p>
          <w:p w14:paraId="2A96159B" w14:textId="77777777" w:rsidR="0071282E" w:rsidRPr="00A125AB" w:rsidRDefault="0071282E" w:rsidP="00B3461A">
            <w:pPr>
              <w:spacing w:after="0" w:line="240" w:lineRule="auto"/>
              <w:ind w:left="426" w:hanging="284"/>
              <w:rPr>
                <w:rFonts w:asciiTheme="minorHAnsi" w:hAnsiTheme="minorHAnsi"/>
                <w:b/>
                <w:sz w:val="20"/>
                <w:szCs w:val="20"/>
              </w:rPr>
            </w:pPr>
          </w:p>
          <w:p w14:paraId="5A5EE357" w14:textId="61FEFD62" w:rsidR="006A268B" w:rsidRPr="00A125AB" w:rsidRDefault="006A268B" w:rsidP="00B3461A">
            <w:pPr>
              <w:pStyle w:val="ListParagraph"/>
              <w:numPr>
                <w:ilvl w:val="0"/>
                <w:numId w:val="8"/>
              </w:numPr>
              <w:spacing w:after="0" w:line="240" w:lineRule="auto"/>
              <w:ind w:left="426" w:hanging="284"/>
              <w:rPr>
                <w:b/>
                <w:sz w:val="20"/>
                <w:szCs w:val="20"/>
              </w:rPr>
            </w:pPr>
            <w:r w:rsidRPr="00A125AB">
              <w:rPr>
                <w:b/>
                <w:sz w:val="20"/>
                <w:szCs w:val="20"/>
              </w:rPr>
              <w:t>Primary</w:t>
            </w:r>
            <w:r w:rsidR="0071282E" w:rsidRPr="00A125AB">
              <w:rPr>
                <w:b/>
                <w:sz w:val="20"/>
                <w:szCs w:val="20"/>
              </w:rPr>
              <w:t xml:space="preserve"> &amp; Secondary</w:t>
            </w:r>
            <w:r w:rsidRPr="00A125AB">
              <w:rPr>
                <w:b/>
                <w:sz w:val="20"/>
                <w:szCs w:val="20"/>
              </w:rPr>
              <w:t xml:space="preserve"> Storage </w:t>
            </w:r>
          </w:p>
          <w:p w14:paraId="3A18A901" w14:textId="5FE5F6D5" w:rsidR="0071282E" w:rsidRPr="00A125AB" w:rsidRDefault="0071282E" w:rsidP="00B3461A">
            <w:pPr>
              <w:pStyle w:val="ListParagraph"/>
              <w:spacing w:after="0" w:line="240" w:lineRule="auto"/>
              <w:ind w:left="426"/>
              <w:rPr>
                <w:sz w:val="20"/>
                <w:szCs w:val="20"/>
              </w:rPr>
            </w:pPr>
            <w:r w:rsidRPr="00A125AB">
              <w:rPr>
                <w:sz w:val="20"/>
                <w:szCs w:val="20"/>
              </w:rPr>
              <w:t>Learning about volatile memory and the boot s</w:t>
            </w:r>
          </w:p>
          <w:p w14:paraId="01665439" w14:textId="77777777" w:rsidR="0071282E" w:rsidRPr="00A125AB" w:rsidRDefault="0071282E" w:rsidP="00B3461A">
            <w:pPr>
              <w:spacing w:after="0" w:line="240" w:lineRule="auto"/>
              <w:ind w:left="426" w:hanging="284"/>
              <w:rPr>
                <w:rFonts w:asciiTheme="minorHAnsi" w:hAnsiTheme="minorHAnsi"/>
                <w:b/>
                <w:sz w:val="20"/>
                <w:szCs w:val="20"/>
              </w:rPr>
            </w:pPr>
          </w:p>
          <w:p w14:paraId="70BDB799" w14:textId="77777777" w:rsidR="00E25812" w:rsidRPr="00A125AB" w:rsidRDefault="006A268B" w:rsidP="00B3461A">
            <w:pPr>
              <w:pStyle w:val="ListParagraph"/>
              <w:numPr>
                <w:ilvl w:val="0"/>
                <w:numId w:val="8"/>
              </w:numPr>
              <w:spacing w:after="0" w:line="240" w:lineRule="auto"/>
              <w:ind w:left="426" w:hanging="284"/>
              <w:rPr>
                <w:b/>
                <w:sz w:val="20"/>
                <w:szCs w:val="20"/>
              </w:rPr>
            </w:pPr>
            <w:r w:rsidRPr="00A125AB">
              <w:rPr>
                <w:b/>
                <w:sz w:val="20"/>
                <w:szCs w:val="20"/>
              </w:rPr>
              <w:t>Unit Conversion</w:t>
            </w:r>
          </w:p>
          <w:p w14:paraId="2A7520DF" w14:textId="4E3E6329" w:rsidR="007210A9" w:rsidRPr="00A125AB" w:rsidRDefault="007210A9" w:rsidP="00B3461A">
            <w:pPr>
              <w:pStyle w:val="ListParagraph"/>
              <w:spacing w:after="0" w:line="240" w:lineRule="auto"/>
              <w:ind w:left="426"/>
              <w:rPr>
                <w:sz w:val="20"/>
                <w:szCs w:val="20"/>
              </w:rPr>
            </w:pPr>
            <w:r w:rsidRPr="00A125AB">
              <w:rPr>
                <w:sz w:val="20"/>
                <w:szCs w:val="20"/>
              </w:rPr>
              <w:t>Understand file sizes and use suitable notations to calculate files.</w:t>
            </w:r>
          </w:p>
        </w:tc>
        <w:tc>
          <w:tcPr>
            <w:tcW w:w="2255" w:type="dxa"/>
            <w:gridSpan w:val="2"/>
            <w:shd w:val="clear" w:color="auto" w:fill="auto"/>
          </w:tcPr>
          <w:p w14:paraId="037A211C" w14:textId="383607AC" w:rsidR="00E25812" w:rsidRPr="00A125AB" w:rsidRDefault="0071282E" w:rsidP="0071282E">
            <w:pPr>
              <w:pStyle w:val="NoSpacing"/>
              <w:numPr>
                <w:ilvl w:val="0"/>
                <w:numId w:val="7"/>
              </w:numPr>
              <w:ind w:left="177" w:hanging="177"/>
              <w:rPr>
                <w:rFonts w:asciiTheme="minorHAnsi" w:hAnsiTheme="minorHAnsi"/>
                <w:sz w:val="20"/>
                <w:szCs w:val="20"/>
              </w:rPr>
            </w:pPr>
            <w:r w:rsidRPr="00A125AB">
              <w:rPr>
                <w:rFonts w:asciiTheme="minorHAnsi" w:hAnsiTheme="minorHAnsi"/>
                <w:sz w:val="20"/>
                <w:szCs w:val="20"/>
              </w:rPr>
              <w:t>Recognise CPU components and how they function in the FDE Cycle</w:t>
            </w:r>
          </w:p>
          <w:p w14:paraId="54094881" w14:textId="03EE2484" w:rsidR="0071282E" w:rsidRPr="00A125AB" w:rsidRDefault="0071282E" w:rsidP="0071282E">
            <w:pPr>
              <w:pStyle w:val="NoSpacing"/>
              <w:numPr>
                <w:ilvl w:val="0"/>
                <w:numId w:val="7"/>
              </w:numPr>
              <w:ind w:left="177" w:hanging="177"/>
              <w:rPr>
                <w:rFonts w:asciiTheme="minorHAnsi" w:hAnsiTheme="minorHAnsi"/>
                <w:sz w:val="20"/>
                <w:szCs w:val="20"/>
              </w:rPr>
            </w:pPr>
            <w:r w:rsidRPr="00A125AB">
              <w:rPr>
                <w:rFonts w:asciiTheme="minorHAnsi" w:hAnsiTheme="minorHAnsi"/>
                <w:sz w:val="20"/>
                <w:szCs w:val="20"/>
              </w:rPr>
              <w:t>Identify suitable computer components based on different contexts</w:t>
            </w:r>
          </w:p>
          <w:p w14:paraId="61FB908D" w14:textId="2F72B242" w:rsidR="0071282E" w:rsidRPr="00A125AB" w:rsidRDefault="0071282E" w:rsidP="0071282E">
            <w:pPr>
              <w:pStyle w:val="NoSpacing"/>
              <w:numPr>
                <w:ilvl w:val="0"/>
                <w:numId w:val="7"/>
              </w:numPr>
              <w:ind w:left="177" w:hanging="177"/>
              <w:rPr>
                <w:rFonts w:asciiTheme="minorHAnsi" w:hAnsiTheme="minorHAnsi"/>
                <w:sz w:val="20"/>
                <w:szCs w:val="20"/>
              </w:rPr>
            </w:pPr>
            <w:r w:rsidRPr="00A125AB">
              <w:rPr>
                <w:rFonts w:asciiTheme="minorHAnsi" w:hAnsiTheme="minorHAnsi"/>
                <w:sz w:val="20"/>
                <w:szCs w:val="20"/>
              </w:rPr>
              <w:t>Suggest suitable storage for various situations</w:t>
            </w:r>
          </w:p>
          <w:p w14:paraId="5E2D57B4" w14:textId="0A15A6EB" w:rsidR="0071282E" w:rsidRPr="00A125AB" w:rsidRDefault="0071282E" w:rsidP="0071282E">
            <w:pPr>
              <w:pStyle w:val="NoSpacing"/>
              <w:numPr>
                <w:ilvl w:val="0"/>
                <w:numId w:val="7"/>
              </w:numPr>
              <w:ind w:left="177" w:hanging="177"/>
              <w:rPr>
                <w:rFonts w:asciiTheme="minorHAnsi" w:hAnsiTheme="minorHAnsi"/>
                <w:sz w:val="20"/>
                <w:szCs w:val="20"/>
              </w:rPr>
            </w:pPr>
            <w:r w:rsidRPr="00A125AB">
              <w:rPr>
                <w:rFonts w:asciiTheme="minorHAnsi" w:hAnsiTheme="minorHAnsi"/>
                <w:sz w:val="20"/>
                <w:szCs w:val="20"/>
              </w:rPr>
              <w:t>Calculate file sizes with correct notation</w:t>
            </w:r>
          </w:p>
          <w:p w14:paraId="29B1B430" w14:textId="77777777" w:rsidR="0071282E" w:rsidRPr="00A125AB" w:rsidRDefault="0071282E" w:rsidP="00973C3F">
            <w:pPr>
              <w:pStyle w:val="NoSpacing"/>
              <w:rPr>
                <w:rFonts w:asciiTheme="minorHAnsi" w:hAnsiTheme="minorHAnsi"/>
                <w:sz w:val="20"/>
                <w:szCs w:val="20"/>
              </w:rPr>
            </w:pPr>
          </w:p>
          <w:p w14:paraId="7F54E4D1" w14:textId="77777777" w:rsidR="00E25812" w:rsidRPr="00A125AB" w:rsidRDefault="00E25812" w:rsidP="00973C3F">
            <w:pPr>
              <w:pStyle w:val="NoSpacing"/>
              <w:rPr>
                <w:rFonts w:asciiTheme="minorHAnsi" w:hAnsiTheme="minorHAnsi"/>
                <w:sz w:val="20"/>
                <w:szCs w:val="20"/>
              </w:rPr>
            </w:pPr>
          </w:p>
          <w:p w14:paraId="76DB2839" w14:textId="77777777" w:rsidR="00E25812" w:rsidRPr="00A125AB" w:rsidRDefault="00E25812" w:rsidP="00973C3F">
            <w:pPr>
              <w:pStyle w:val="NoSpacing"/>
              <w:rPr>
                <w:rFonts w:asciiTheme="minorHAnsi" w:hAnsiTheme="minorHAnsi"/>
                <w:sz w:val="20"/>
                <w:szCs w:val="20"/>
              </w:rPr>
            </w:pPr>
          </w:p>
          <w:p w14:paraId="1A614EAC" w14:textId="77777777" w:rsidR="00E25812" w:rsidRPr="00A125AB" w:rsidRDefault="00E25812" w:rsidP="00973C3F">
            <w:pPr>
              <w:pStyle w:val="NoSpacing"/>
              <w:rPr>
                <w:rFonts w:asciiTheme="minorHAnsi" w:hAnsiTheme="minorHAnsi"/>
                <w:sz w:val="20"/>
                <w:szCs w:val="20"/>
              </w:rPr>
            </w:pPr>
          </w:p>
        </w:tc>
        <w:tc>
          <w:tcPr>
            <w:tcW w:w="1998" w:type="dxa"/>
            <w:shd w:val="clear" w:color="auto" w:fill="auto"/>
          </w:tcPr>
          <w:p w14:paraId="3AC19738" w14:textId="77777777" w:rsidR="00B3461A" w:rsidRPr="00A125AB" w:rsidRDefault="0071282E"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Computer system</w:t>
            </w:r>
            <w:r w:rsidR="007210A9" w:rsidRPr="00A125AB">
              <w:rPr>
                <w:rFonts w:asciiTheme="minorHAnsi" w:hAnsiTheme="minorHAnsi" w:cs="Calibri"/>
                <w:color w:val="000000"/>
                <w:sz w:val="20"/>
                <w:szCs w:val="20"/>
              </w:rPr>
              <w:t>s</w:t>
            </w:r>
          </w:p>
          <w:p w14:paraId="783E111A" w14:textId="77777777" w:rsidR="00B3461A" w:rsidRPr="00A125AB" w:rsidRDefault="00B3461A"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 xml:space="preserve">Input, process, output, </w:t>
            </w:r>
            <w:r w:rsidR="0071282E" w:rsidRPr="00A125AB">
              <w:rPr>
                <w:rFonts w:asciiTheme="minorHAnsi" w:hAnsiTheme="minorHAnsi" w:cs="Calibri"/>
                <w:color w:val="000000"/>
                <w:sz w:val="20"/>
                <w:szCs w:val="20"/>
              </w:rPr>
              <w:t>storage</w:t>
            </w:r>
          </w:p>
          <w:p w14:paraId="5DE54CBC" w14:textId="59F5C97C" w:rsidR="00B3461A" w:rsidRPr="00A125AB" w:rsidRDefault="0071282E"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Data bus</w:t>
            </w:r>
          </w:p>
          <w:p w14:paraId="131C14A3" w14:textId="22EB0545" w:rsidR="00B3461A" w:rsidRPr="00A125AB" w:rsidRDefault="00B3461A"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Address</w:t>
            </w:r>
          </w:p>
          <w:p w14:paraId="08459518" w14:textId="77777777" w:rsidR="00B3461A" w:rsidRPr="00A125AB" w:rsidRDefault="00B3461A"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Control Unit</w:t>
            </w:r>
          </w:p>
          <w:p w14:paraId="7785A793" w14:textId="77777777" w:rsidR="00B3461A" w:rsidRPr="00A125AB" w:rsidRDefault="00B3461A"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Accumulator</w:t>
            </w:r>
          </w:p>
          <w:p w14:paraId="134B547A" w14:textId="77777777" w:rsidR="00B3461A" w:rsidRPr="00A125AB" w:rsidRDefault="007210A9"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ALU</w:t>
            </w:r>
          </w:p>
          <w:p w14:paraId="1F39C010" w14:textId="77777777" w:rsidR="00B3461A" w:rsidRPr="00A125AB" w:rsidRDefault="007210A9"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 xml:space="preserve">Von </w:t>
            </w:r>
            <w:proofErr w:type="spellStart"/>
            <w:r w:rsidRPr="00A125AB">
              <w:rPr>
                <w:rFonts w:asciiTheme="minorHAnsi" w:hAnsiTheme="minorHAnsi" w:cs="Calibri"/>
                <w:color w:val="000000"/>
                <w:sz w:val="20"/>
                <w:szCs w:val="20"/>
              </w:rPr>
              <w:t>Nemann</w:t>
            </w:r>
            <w:proofErr w:type="spellEnd"/>
          </w:p>
          <w:p w14:paraId="0752251C" w14:textId="0938D96D" w:rsidR="00B3461A" w:rsidRPr="00A125AB" w:rsidRDefault="00B3461A"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MAR, MDR</w:t>
            </w:r>
          </w:p>
          <w:p w14:paraId="00086316" w14:textId="77777777" w:rsidR="00B3461A" w:rsidRPr="00A125AB" w:rsidRDefault="00B3461A"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Program Counter</w:t>
            </w:r>
          </w:p>
          <w:p w14:paraId="67CAD924" w14:textId="77777777" w:rsidR="00B3461A" w:rsidRPr="00A125AB" w:rsidRDefault="00B3461A"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Registers</w:t>
            </w:r>
          </w:p>
          <w:p w14:paraId="2056D8BE" w14:textId="77777777" w:rsidR="00B3461A" w:rsidRPr="00A125AB" w:rsidRDefault="007210A9"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Cache</w:t>
            </w:r>
          </w:p>
          <w:p w14:paraId="5003B628" w14:textId="77777777" w:rsidR="00B3461A" w:rsidRPr="00A125AB" w:rsidRDefault="007210A9"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Cores</w:t>
            </w:r>
          </w:p>
          <w:p w14:paraId="1B23AE5F" w14:textId="77777777" w:rsidR="00B3461A" w:rsidRPr="00A125AB" w:rsidRDefault="007210A9"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Clock Speed</w:t>
            </w:r>
          </w:p>
          <w:p w14:paraId="05487446" w14:textId="77777777" w:rsidR="00B3461A" w:rsidRPr="00A125AB" w:rsidRDefault="007210A9"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Embedded Systems</w:t>
            </w:r>
          </w:p>
          <w:p w14:paraId="1484AAA9" w14:textId="01A79804" w:rsidR="00B3461A" w:rsidRPr="00A125AB" w:rsidRDefault="007210A9"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Volatile</w:t>
            </w:r>
          </w:p>
          <w:p w14:paraId="157F7040" w14:textId="14F1F73C" w:rsidR="00B3461A" w:rsidRPr="00A125AB" w:rsidRDefault="00B3461A"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RAM, ROM</w:t>
            </w:r>
          </w:p>
          <w:p w14:paraId="21A6841A" w14:textId="77777777" w:rsidR="00B3461A" w:rsidRPr="00A125AB" w:rsidRDefault="007210A9"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 xml:space="preserve">SSD, HDD, CD, DVD, </w:t>
            </w:r>
            <w:proofErr w:type="spellStart"/>
            <w:r w:rsidRPr="00A125AB">
              <w:rPr>
                <w:rFonts w:asciiTheme="minorHAnsi" w:hAnsiTheme="minorHAnsi" w:cs="Calibri"/>
                <w:color w:val="000000"/>
                <w:sz w:val="20"/>
                <w:szCs w:val="20"/>
              </w:rPr>
              <w:t>BluRay</w:t>
            </w:r>
            <w:proofErr w:type="spellEnd"/>
            <w:r w:rsidRPr="00A125AB">
              <w:rPr>
                <w:rFonts w:asciiTheme="minorHAnsi" w:hAnsiTheme="minorHAnsi" w:cs="Calibri"/>
                <w:color w:val="000000"/>
                <w:sz w:val="20"/>
                <w:szCs w:val="20"/>
              </w:rPr>
              <w:t xml:space="preserve">, </w:t>
            </w:r>
          </w:p>
          <w:p w14:paraId="1CBBD234" w14:textId="0C26A1FB" w:rsidR="00E25812" w:rsidRPr="00A125AB" w:rsidRDefault="007210A9" w:rsidP="00B3461A">
            <w:pPr>
              <w:pStyle w:val="NormalWeb"/>
              <w:numPr>
                <w:ilvl w:val="0"/>
                <w:numId w:val="9"/>
              </w:numPr>
              <w:spacing w:after="0"/>
              <w:ind w:left="189" w:hanging="142"/>
              <w:rPr>
                <w:rFonts w:asciiTheme="minorHAnsi" w:hAnsiTheme="minorHAnsi" w:cs="Calibri"/>
                <w:color w:val="000000"/>
                <w:sz w:val="20"/>
                <w:szCs w:val="20"/>
              </w:rPr>
            </w:pPr>
            <w:r w:rsidRPr="00A125AB">
              <w:rPr>
                <w:rFonts w:asciiTheme="minorHAnsi" w:hAnsiTheme="minorHAnsi" w:cs="Calibri"/>
                <w:color w:val="000000"/>
                <w:sz w:val="20"/>
                <w:szCs w:val="20"/>
              </w:rPr>
              <w:t xml:space="preserve">Bit, Nibble, Byte, </w:t>
            </w:r>
            <w:proofErr w:type="gramStart"/>
            <w:r w:rsidRPr="00A125AB">
              <w:rPr>
                <w:rFonts w:asciiTheme="minorHAnsi" w:hAnsiTheme="minorHAnsi" w:cs="Calibri"/>
                <w:color w:val="000000"/>
                <w:sz w:val="20"/>
                <w:szCs w:val="20"/>
              </w:rPr>
              <w:t>KB,MB</w:t>
            </w:r>
            <w:proofErr w:type="gramEnd"/>
            <w:r w:rsidRPr="00A125AB">
              <w:rPr>
                <w:rFonts w:asciiTheme="minorHAnsi" w:hAnsiTheme="minorHAnsi" w:cs="Calibri"/>
                <w:color w:val="000000"/>
                <w:sz w:val="20"/>
                <w:szCs w:val="20"/>
              </w:rPr>
              <w:t>,GB,PB.</w:t>
            </w:r>
          </w:p>
        </w:tc>
        <w:tc>
          <w:tcPr>
            <w:tcW w:w="1525" w:type="dxa"/>
            <w:shd w:val="clear" w:color="auto" w:fill="auto"/>
          </w:tcPr>
          <w:p w14:paraId="303C561B" w14:textId="7E0B0190" w:rsidR="00E25812" w:rsidRPr="00A125AB" w:rsidRDefault="00E6724A" w:rsidP="00973C3F">
            <w:pPr>
              <w:pStyle w:val="NoSpacing"/>
              <w:rPr>
                <w:rFonts w:asciiTheme="minorHAnsi" w:hAnsiTheme="minorHAnsi"/>
                <w:sz w:val="20"/>
                <w:szCs w:val="20"/>
              </w:rPr>
            </w:pPr>
            <w:r w:rsidRPr="00A125AB">
              <w:rPr>
                <w:rFonts w:asciiTheme="minorHAnsi" w:hAnsiTheme="minorHAnsi"/>
                <w:sz w:val="20"/>
                <w:szCs w:val="20"/>
              </w:rPr>
              <w:t xml:space="preserve">High quality Homework set on Google Classrooms </w:t>
            </w:r>
          </w:p>
          <w:p w14:paraId="15C00FA5" w14:textId="0747FABC" w:rsidR="00E25812" w:rsidRPr="00A125AB" w:rsidRDefault="00E25812" w:rsidP="00973C3F">
            <w:pPr>
              <w:pStyle w:val="NoSpacing"/>
              <w:rPr>
                <w:rFonts w:asciiTheme="minorHAnsi" w:hAnsiTheme="minorHAnsi"/>
                <w:sz w:val="20"/>
                <w:szCs w:val="20"/>
              </w:rPr>
            </w:pPr>
          </w:p>
          <w:p w14:paraId="6F6AB6DD" w14:textId="4F102B48" w:rsidR="00E6724A" w:rsidRPr="00A125AB" w:rsidRDefault="00E6724A" w:rsidP="00973C3F">
            <w:pPr>
              <w:pStyle w:val="NoSpacing"/>
              <w:rPr>
                <w:rFonts w:asciiTheme="minorHAnsi" w:hAnsiTheme="minorHAnsi"/>
                <w:sz w:val="20"/>
                <w:szCs w:val="20"/>
              </w:rPr>
            </w:pPr>
            <w:r w:rsidRPr="00A125AB">
              <w:rPr>
                <w:rFonts w:asciiTheme="minorHAnsi" w:hAnsiTheme="minorHAnsi"/>
                <w:sz w:val="20"/>
                <w:szCs w:val="20"/>
              </w:rPr>
              <w:t>Teach-ICT.com</w:t>
            </w:r>
          </w:p>
          <w:p w14:paraId="394A1DC2" w14:textId="77777777" w:rsidR="00E25812" w:rsidRPr="00A125AB" w:rsidRDefault="00E25812" w:rsidP="00973C3F">
            <w:pPr>
              <w:pStyle w:val="NoSpacing"/>
              <w:rPr>
                <w:rFonts w:asciiTheme="minorHAnsi" w:hAnsiTheme="minorHAnsi"/>
                <w:sz w:val="20"/>
                <w:szCs w:val="20"/>
              </w:rPr>
            </w:pPr>
          </w:p>
          <w:p w14:paraId="5127E264" w14:textId="2127705D" w:rsidR="00E6724A" w:rsidRPr="00A125AB" w:rsidRDefault="00973C3F" w:rsidP="00973C3F">
            <w:pPr>
              <w:pStyle w:val="NoSpacing"/>
              <w:rPr>
                <w:rFonts w:asciiTheme="minorHAnsi" w:hAnsiTheme="minorHAnsi"/>
                <w:sz w:val="20"/>
                <w:szCs w:val="20"/>
              </w:rPr>
            </w:pPr>
            <w:r w:rsidRPr="00A125AB">
              <w:rPr>
                <w:rFonts w:asciiTheme="minorHAnsi" w:hAnsiTheme="minorHAnsi"/>
                <w:sz w:val="20"/>
                <w:szCs w:val="20"/>
              </w:rPr>
              <w:t xml:space="preserve">PG Online – </w:t>
            </w:r>
            <w:r w:rsidR="005077F5" w:rsidRPr="00A125AB">
              <w:rPr>
                <w:rFonts w:asciiTheme="minorHAnsi" w:hAnsiTheme="minorHAnsi"/>
                <w:sz w:val="20"/>
                <w:szCs w:val="20"/>
              </w:rPr>
              <w:t xml:space="preserve">GCSE </w:t>
            </w:r>
            <w:r w:rsidRPr="00A125AB">
              <w:rPr>
                <w:rFonts w:asciiTheme="minorHAnsi" w:hAnsiTheme="minorHAnsi"/>
                <w:sz w:val="20"/>
                <w:szCs w:val="20"/>
              </w:rPr>
              <w:t>Computer Science</w:t>
            </w:r>
          </w:p>
          <w:p w14:paraId="6051D9F2" w14:textId="77777777" w:rsidR="00973C3F" w:rsidRPr="00A125AB" w:rsidRDefault="00973C3F" w:rsidP="00973C3F">
            <w:pPr>
              <w:pStyle w:val="NoSpacing"/>
              <w:rPr>
                <w:rFonts w:asciiTheme="minorHAnsi" w:hAnsiTheme="minorHAnsi"/>
                <w:sz w:val="20"/>
                <w:szCs w:val="20"/>
              </w:rPr>
            </w:pPr>
          </w:p>
          <w:p w14:paraId="0424EB83" w14:textId="46313B0A" w:rsidR="00973C3F" w:rsidRPr="00A125AB" w:rsidRDefault="00973C3F" w:rsidP="00973C3F">
            <w:pPr>
              <w:pStyle w:val="NoSpacing"/>
              <w:rPr>
                <w:rFonts w:asciiTheme="minorHAnsi" w:hAnsiTheme="minorHAnsi"/>
                <w:sz w:val="20"/>
                <w:szCs w:val="20"/>
              </w:rPr>
            </w:pPr>
          </w:p>
        </w:tc>
        <w:tc>
          <w:tcPr>
            <w:tcW w:w="1694" w:type="dxa"/>
            <w:shd w:val="clear" w:color="auto" w:fill="auto"/>
          </w:tcPr>
          <w:p w14:paraId="326B2B0C" w14:textId="46FB60D7" w:rsidR="00E25812" w:rsidRDefault="00E6724A" w:rsidP="00973C3F">
            <w:pPr>
              <w:pStyle w:val="NoSpacing"/>
              <w:rPr>
                <w:rFonts w:asciiTheme="minorHAnsi" w:hAnsiTheme="minorHAnsi"/>
                <w:sz w:val="20"/>
                <w:szCs w:val="20"/>
              </w:rPr>
            </w:pPr>
            <w:r w:rsidRPr="00A125AB">
              <w:rPr>
                <w:rFonts w:asciiTheme="minorHAnsi" w:hAnsiTheme="minorHAnsi"/>
                <w:sz w:val="20"/>
                <w:szCs w:val="20"/>
              </w:rPr>
              <w:t xml:space="preserve">End of unit assessments </w:t>
            </w:r>
          </w:p>
          <w:p w14:paraId="34BEF7A4" w14:textId="77777777" w:rsidR="009339EC" w:rsidRDefault="009339EC" w:rsidP="00973C3F">
            <w:pPr>
              <w:pStyle w:val="NoSpacing"/>
              <w:rPr>
                <w:rFonts w:asciiTheme="minorHAnsi" w:hAnsiTheme="minorHAnsi"/>
                <w:sz w:val="20"/>
                <w:szCs w:val="20"/>
              </w:rPr>
            </w:pPr>
          </w:p>
          <w:p w14:paraId="1D2F18C2" w14:textId="77777777" w:rsidR="009339EC" w:rsidRDefault="009339EC" w:rsidP="009339EC">
            <w:pPr>
              <w:pStyle w:val="NoSpacing"/>
              <w:numPr>
                <w:ilvl w:val="0"/>
                <w:numId w:val="10"/>
              </w:numPr>
              <w:ind w:left="209" w:hanging="209"/>
              <w:rPr>
                <w:rFonts w:asciiTheme="minorHAnsi" w:hAnsiTheme="minorHAnsi"/>
                <w:sz w:val="20"/>
                <w:szCs w:val="20"/>
              </w:rPr>
            </w:pPr>
            <w:r>
              <w:rPr>
                <w:rFonts w:asciiTheme="minorHAnsi" w:hAnsiTheme="minorHAnsi"/>
                <w:sz w:val="20"/>
                <w:szCs w:val="20"/>
              </w:rPr>
              <w:t>Architecture</w:t>
            </w:r>
          </w:p>
          <w:p w14:paraId="32D59D93" w14:textId="77777777" w:rsidR="009339EC" w:rsidRDefault="009339EC" w:rsidP="009339EC">
            <w:pPr>
              <w:pStyle w:val="NoSpacing"/>
              <w:numPr>
                <w:ilvl w:val="0"/>
                <w:numId w:val="10"/>
              </w:numPr>
              <w:ind w:left="209" w:hanging="209"/>
              <w:rPr>
                <w:rFonts w:asciiTheme="minorHAnsi" w:hAnsiTheme="minorHAnsi"/>
                <w:sz w:val="20"/>
                <w:szCs w:val="20"/>
              </w:rPr>
            </w:pPr>
            <w:r>
              <w:rPr>
                <w:rFonts w:asciiTheme="minorHAnsi" w:hAnsiTheme="minorHAnsi"/>
                <w:sz w:val="20"/>
                <w:szCs w:val="20"/>
              </w:rPr>
              <w:t>CPU Performance</w:t>
            </w:r>
          </w:p>
          <w:p w14:paraId="6290234F" w14:textId="77777777" w:rsidR="009339EC" w:rsidRDefault="009339EC" w:rsidP="009339EC">
            <w:pPr>
              <w:pStyle w:val="NoSpacing"/>
              <w:numPr>
                <w:ilvl w:val="0"/>
                <w:numId w:val="10"/>
              </w:numPr>
              <w:ind w:left="209" w:hanging="209"/>
              <w:rPr>
                <w:rFonts w:asciiTheme="minorHAnsi" w:hAnsiTheme="minorHAnsi"/>
                <w:sz w:val="20"/>
                <w:szCs w:val="20"/>
              </w:rPr>
            </w:pPr>
            <w:r>
              <w:rPr>
                <w:rFonts w:asciiTheme="minorHAnsi" w:hAnsiTheme="minorHAnsi"/>
                <w:sz w:val="20"/>
                <w:szCs w:val="20"/>
              </w:rPr>
              <w:t>Primary Storage</w:t>
            </w:r>
          </w:p>
          <w:p w14:paraId="0BF0549F" w14:textId="77777777" w:rsidR="009339EC" w:rsidRDefault="009339EC" w:rsidP="009339EC">
            <w:pPr>
              <w:pStyle w:val="NoSpacing"/>
              <w:numPr>
                <w:ilvl w:val="0"/>
                <w:numId w:val="10"/>
              </w:numPr>
              <w:ind w:left="209" w:hanging="209"/>
              <w:rPr>
                <w:rFonts w:asciiTheme="minorHAnsi" w:hAnsiTheme="minorHAnsi"/>
                <w:sz w:val="20"/>
                <w:szCs w:val="20"/>
              </w:rPr>
            </w:pPr>
            <w:r>
              <w:rPr>
                <w:rFonts w:asciiTheme="minorHAnsi" w:hAnsiTheme="minorHAnsi"/>
                <w:sz w:val="20"/>
                <w:szCs w:val="20"/>
              </w:rPr>
              <w:t>Secondary Storage</w:t>
            </w:r>
          </w:p>
          <w:p w14:paraId="5CFB5641" w14:textId="078BA991" w:rsidR="009339EC" w:rsidRPr="00A125AB" w:rsidRDefault="009339EC" w:rsidP="009339EC">
            <w:pPr>
              <w:pStyle w:val="NoSpacing"/>
              <w:numPr>
                <w:ilvl w:val="0"/>
                <w:numId w:val="10"/>
              </w:numPr>
              <w:ind w:left="209" w:hanging="209"/>
              <w:rPr>
                <w:rFonts w:asciiTheme="minorHAnsi" w:hAnsiTheme="minorHAnsi"/>
                <w:sz w:val="20"/>
                <w:szCs w:val="20"/>
              </w:rPr>
            </w:pPr>
            <w:r>
              <w:rPr>
                <w:rFonts w:asciiTheme="minorHAnsi" w:hAnsiTheme="minorHAnsi"/>
                <w:sz w:val="20"/>
                <w:szCs w:val="20"/>
              </w:rPr>
              <w:t>Units</w:t>
            </w:r>
          </w:p>
          <w:p w14:paraId="61884278" w14:textId="77777777" w:rsidR="00E6724A" w:rsidRPr="00A125AB" w:rsidRDefault="00E6724A" w:rsidP="00973C3F">
            <w:pPr>
              <w:pStyle w:val="NoSpacing"/>
              <w:rPr>
                <w:rFonts w:asciiTheme="minorHAnsi" w:hAnsiTheme="minorHAnsi"/>
                <w:sz w:val="20"/>
                <w:szCs w:val="20"/>
              </w:rPr>
            </w:pPr>
          </w:p>
          <w:p w14:paraId="1DDFD155" w14:textId="77777777" w:rsidR="006A268B" w:rsidRPr="00A125AB" w:rsidRDefault="006A268B" w:rsidP="00973C3F">
            <w:pPr>
              <w:pStyle w:val="NoSpacing"/>
              <w:rPr>
                <w:rFonts w:asciiTheme="minorHAnsi" w:hAnsiTheme="minorHAnsi"/>
                <w:sz w:val="20"/>
                <w:szCs w:val="20"/>
              </w:rPr>
            </w:pPr>
          </w:p>
          <w:p w14:paraId="1E8893B4" w14:textId="06989CA5" w:rsidR="00E6724A" w:rsidRPr="00A125AB" w:rsidRDefault="006A268B" w:rsidP="00973C3F">
            <w:pPr>
              <w:pStyle w:val="NoSpacing"/>
              <w:rPr>
                <w:rFonts w:asciiTheme="minorHAnsi" w:hAnsiTheme="minorHAnsi"/>
                <w:sz w:val="20"/>
                <w:szCs w:val="20"/>
              </w:rPr>
            </w:pPr>
            <w:r w:rsidRPr="00A125AB">
              <w:rPr>
                <w:rFonts w:asciiTheme="minorHAnsi" w:hAnsiTheme="minorHAnsi"/>
                <w:sz w:val="20"/>
                <w:szCs w:val="20"/>
              </w:rPr>
              <w:t xml:space="preserve">Pre-Public Examination at the end of year 10 May 2023. </w:t>
            </w:r>
          </w:p>
        </w:tc>
        <w:tc>
          <w:tcPr>
            <w:tcW w:w="2167" w:type="dxa"/>
            <w:shd w:val="clear" w:color="auto" w:fill="auto"/>
          </w:tcPr>
          <w:p w14:paraId="6F22BF0F" w14:textId="586CD925" w:rsidR="00973C3F" w:rsidRPr="00A125AB" w:rsidRDefault="00AE20EE" w:rsidP="00973C3F">
            <w:pPr>
              <w:pStyle w:val="NoSpacing"/>
              <w:rPr>
                <w:rFonts w:asciiTheme="minorHAnsi" w:hAnsiTheme="minorHAnsi"/>
                <w:sz w:val="20"/>
                <w:szCs w:val="20"/>
              </w:rPr>
            </w:pPr>
            <w:hyperlink r:id="rId5" w:history="1">
              <w:r w:rsidR="00973C3F" w:rsidRPr="00A125AB">
                <w:rPr>
                  <w:rStyle w:val="Hyperlink"/>
                  <w:rFonts w:asciiTheme="minorHAnsi" w:hAnsiTheme="minorHAnsi"/>
                  <w:sz w:val="20"/>
                  <w:szCs w:val="20"/>
                </w:rPr>
                <w:t>Teach-ICT.com</w:t>
              </w:r>
            </w:hyperlink>
          </w:p>
          <w:p w14:paraId="172E87F7" w14:textId="77777777" w:rsidR="00973C3F" w:rsidRPr="00A125AB" w:rsidRDefault="00973C3F" w:rsidP="00973C3F">
            <w:pPr>
              <w:pStyle w:val="NoSpacing"/>
              <w:rPr>
                <w:rFonts w:asciiTheme="minorHAnsi" w:hAnsiTheme="minorHAnsi"/>
                <w:sz w:val="20"/>
                <w:szCs w:val="20"/>
              </w:rPr>
            </w:pPr>
          </w:p>
          <w:p w14:paraId="7C2F126A" w14:textId="5C1AAB19" w:rsidR="00E25812" w:rsidRPr="00A125AB" w:rsidRDefault="00AE20EE" w:rsidP="00973C3F">
            <w:pPr>
              <w:pStyle w:val="NoSpacing"/>
              <w:rPr>
                <w:rFonts w:asciiTheme="minorHAnsi" w:hAnsiTheme="minorHAnsi"/>
                <w:sz w:val="20"/>
                <w:szCs w:val="20"/>
              </w:rPr>
            </w:pPr>
            <w:hyperlink r:id="rId6" w:anchor="all" w:history="1">
              <w:r w:rsidR="00E6724A" w:rsidRPr="00A125AB">
                <w:rPr>
                  <w:rStyle w:val="Hyperlink"/>
                  <w:rFonts w:asciiTheme="minorHAnsi" w:hAnsiTheme="minorHAnsi"/>
                  <w:sz w:val="20"/>
                  <w:szCs w:val="20"/>
                </w:rPr>
                <w:t>Isaac Computer Science</w:t>
              </w:r>
            </w:hyperlink>
          </w:p>
          <w:p w14:paraId="6D99920D" w14:textId="77777777" w:rsidR="00E6724A" w:rsidRPr="00A125AB" w:rsidRDefault="00E6724A" w:rsidP="00973C3F">
            <w:pPr>
              <w:pStyle w:val="NoSpacing"/>
              <w:rPr>
                <w:rFonts w:asciiTheme="minorHAnsi" w:hAnsiTheme="minorHAnsi"/>
                <w:sz w:val="20"/>
                <w:szCs w:val="20"/>
              </w:rPr>
            </w:pPr>
          </w:p>
          <w:p w14:paraId="68D8E1D4" w14:textId="4E3D1F68" w:rsidR="00E6724A" w:rsidRPr="00A125AB" w:rsidRDefault="00E6724A" w:rsidP="00973C3F">
            <w:pPr>
              <w:pStyle w:val="NoSpacing"/>
              <w:rPr>
                <w:rFonts w:asciiTheme="minorHAnsi" w:hAnsiTheme="minorHAnsi"/>
                <w:sz w:val="20"/>
                <w:szCs w:val="20"/>
              </w:rPr>
            </w:pPr>
            <w:r w:rsidRPr="00A125AB">
              <w:rPr>
                <w:rFonts w:asciiTheme="minorHAnsi" w:hAnsiTheme="minorHAnsi"/>
                <w:sz w:val="20"/>
                <w:szCs w:val="20"/>
              </w:rPr>
              <w:t>Seneca</w:t>
            </w:r>
            <w:r w:rsidR="00973C3F" w:rsidRPr="00A125AB">
              <w:rPr>
                <w:rFonts w:asciiTheme="minorHAnsi" w:hAnsiTheme="minorHAnsi"/>
                <w:sz w:val="20"/>
                <w:szCs w:val="20"/>
              </w:rPr>
              <w:t xml:space="preserve"> – </w:t>
            </w:r>
            <w:hyperlink r:id="rId7" w:history="1">
              <w:r w:rsidR="00973C3F" w:rsidRPr="00A125AB">
                <w:rPr>
                  <w:rStyle w:val="Hyperlink"/>
                  <w:rFonts w:asciiTheme="minorHAnsi" w:hAnsiTheme="minorHAnsi"/>
                  <w:sz w:val="20"/>
                  <w:szCs w:val="20"/>
                </w:rPr>
                <w:t>Computer Science</w:t>
              </w:r>
            </w:hyperlink>
          </w:p>
          <w:p w14:paraId="6DC5FDFB" w14:textId="77777777" w:rsidR="00E6724A" w:rsidRPr="00A125AB" w:rsidRDefault="00E6724A" w:rsidP="00973C3F">
            <w:pPr>
              <w:pStyle w:val="NoSpacing"/>
              <w:rPr>
                <w:rFonts w:asciiTheme="minorHAnsi" w:hAnsiTheme="minorHAnsi"/>
                <w:sz w:val="20"/>
                <w:szCs w:val="20"/>
              </w:rPr>
            </w:pPr>
          </w:p>
          <w:p w14:paraId="1FD8463E" w14:textId="77777777" w:rsidR="00E6724A" w:rsidRPr="00A125AB" w:rsidRDefault="00E6724A" w:rsidP="00973C3F">
            <w:pPr>
              <w:pStyle w:val="NoSpacing"/>
              <w:rPr>
                <w:rFonts w:asciiTheme="minorHAnsi" w:hAnsiTheme="minorHAnsi"/>
                <w:sz w:val="20"/>
                <w:szCs w:val="20"/>
              </w:rPr>
            </w:pPr>
            <w:r w:rsidRPr="00A125AB">
              <w:rPr>
                <w:rFonts w:asciiTheme="minorHAnsi" w:hAnsiTheme="minorHAnsi"/>
                <w:sz w:val="20"/>
                <w:szCs w:val="20"/>
              </w:rPr>
              <w:t>BBC Bitesize</w:t>
            </w:r>
          </w:p>
          <w:p w14:paraId="201AC10F" w14:textId="77777777" w:rsidR="00973C3F" w:rsidRPr="00A125AB" w:rsidRDefault="00973C3F" w:rsidP="00973C3F">
            <w:pPr>
              <w:pStyle w:val="NoSpacing"/>
              <w:rPr>
                <w:rFonts w:asciiTheme="minorHAnsi" w:hAnsiTheme="minorHAnsi"/>
                <w:sz w:val="20"/>
                <w:szCs w:val="20"/>
              </w:rPr>
            </w:pPr>
          </w:p>
          <w:p w14:paraId="187DCA15" w14:textId="77777777" w:rsidR="00973C3F" w:rsidRPr="00A125AB" w:rsidRDefault="00973C3F" w:rsidP="00973C3F">
            <w:pPr>
              <w:pStyle w:val="NoSpacing"/>
              <w:rPr>
                <w:rFonts w:asciiTheme="minorHAnsi" w:hAnsiTheme="minorHAnsi"/>
                <w:sz w:val="20"/>
                <w:szCs w:val="20"/>
              </w:rPr>
            </w:pPr>
            <w:r w:rsidRPr="00A125AB">
              <w:rPr>
                <w:rFonts w:asciiTheme="minorHAnsi" w:hAnsiTheme="minorHAnsi"/>
                <w:sz w:val="20"/>
                <w:szCs w:val="20"/>
              </w:rPr>
              <w:t>CGP – GCSE Computer Science</w:t>
            </w:r>
          </w:p>
          <w:p w14:paraId="130ADD95" w14:textId="69B2C300" w:rsidR="005849F5" w:rsidRPr="00A125AB" w:rsidRDefault="005849F5" w:rsidP="00973C3F">
            <w:pPr>
              <w:pStyle w:val="NoSpacing"/>
              <w:rPr>
                <w:rFonts w:asciiTheme="minorHAnsi" w:hAnsiTheme="minorHAnsi"/>
                <w:sz w:val="20"/>
                <w:szCs w:val="20"/>
              </w:rPr>
            </w:pPr>
          </w:p>
        </w:tc>
        <w:tc>
          <w:tcPr>
            <w:tcW w:w="3147" w:type="dxa"/>
            <w:shd w:val="clear" w:color="auto" w:fill="auto"/>
          </w:tcPr>
          <w:p w14:paraId="5EC586A6" w14:textId="77777777" w:rsidR="00973C3F" w:rsidRPr="00A125AB" w:rsidRDefault="00973C3F" w:rsidP="00973C3F">
            <w:pPr>
              <w:pStyle w:val="NoSpacing"/>
              <w:rPr>
                <w:rFonts w:asciiTheme="minorHAnsi" w:hAnsiTheme="minorHAnsi" w:cs="Arial"/>
                <w:sz w:val="20"/>
                <w:szCs w:val="20"/>
              </w:rPr>
            </w:pPr>
            <w:r w:rsidRPr="00A125AB">
              <w:rPr>
                <w:rFonts w:asciiTheme="minorHAnsi" w:hAnsiTheme="minorHAnsi" w:cs="Arial"/>
                <w:sz w:val="20"/>
                <w:szCs w:val="20"/>
              </w:rPr>
              <w:t>The National Science Museum (free events)</w:t>
            </w:r>
          </w:p>
          <w:p w14:paraId="5ACB7F85" w14:textId="77777777" w:rsidR="00973C3F" w:rsidRPr="00A125AB" w:rsidRDefault="00AE20EE" w:rsidP="00973C3F">
            <w:pPr>
              <w:pStyle w:val="NoSpacing"/>
              <w:rPr>
                <w:rFonts w:asciiTheme="minorHAnsi" w:hAnsiTheme="minorHAnsi" w:cs="Arial"/>
                <w:sz w:val="20"/>
                <w:szCs w:val="20"/>
              </w:rPr>
            </w:pPr>
            <w:hyperlink r:id="rId8" w:history="1">
              <w:r w:rsidR="00973C3F" w:rsidRPr="00A125AB">
                <w:rPr>
                  <w:rStyle w:val="Hyperlink"/>
                  <w:rFonts w:asciiTheme="minorHAnsi" w:hAnsiTheme="minorHAnsi" w:cs="Arial"/>
                  <w:sz w:val="20"/>
                  <w:szCs w:val="20"/>
                </w:rPr>
                <w:t>https://www.sciencemuseum.org.uk/</w:t>
              </w:r>
            </w:hyperlink>
          </w:p>
          <w:p w14:paraId="4BE7FCC3" w14:textId="77777777" w:rsidR="00973C3F" w:rsidRPr="00A125AB" w:rsidRDefault="00973C3F" w:rsidP="00973C3F">
            <w:pPr>
              <w:pStyle w:val="NoSpacing"/>
              <w:rPr>
                <w:rFonts w:asciiTheme="minorHAnsi" w:hAnsiTheme="minorHAnsi" w:cs="Arial"/>
                <w:sz w:val="20"/>
                <w:szCs w:val="20"/>
              </w:rPr>
            </w:pPr>
          </w:p>
          <w:p w14:paraId="1DD8B0D0" w14:textId="77777777" w:rsidR="00973C3F" w:rsidRPr="00A125AB" w:rsidRDefault="00973C3F" w:rsidP="00973C3F">
            <w:pPr>
              <w:pStyle w:val="NoSpacing"/>
              <w:rPr>
                <w:rFonts w:asciiTheme="minorHAnsi" w:hAnsiTheme="minorHAnsi" w:cs="Arial"/>
                <w:sz w:val="20"/>
                <w:szCs w:val="20"/>
              </w:rPr>
            </w:pPr>
            <w:r w:rsidRPr="00A125AB">
              <w:rPr>
                <w:rFonts w:asciiTheme="minorHAnsi" w:hAnsiTheme="minorHAnsi" w:cs="Arial"/>
                <w:sz w:val="20"/>
                <w:szCs w:val="20"/>
              </w:rPr>
              <w:t>The Royal Institute of Science (free events)</w:t>
            </w:r>
          </w:p>
          <w:p w14:paraId="1D03EB97" w14:textId="77777777" w:rsidR="00973C3F" w:rsidRPr="00A125AB" w:rsidRDefault="00AE20EE" w:rsidP="00973C3F">
            <w:pPr>
              <w:pStyle w:val="NoSpacing"/>
              <w:rPr>
                <w:rFonts w:asciiTheme="minorHAnsi" w:hAnsiTheme="minorHAnsi" w:cs="Arial"/>
                <w:sz w:val="20"/>
                <w:szCs w:val="20"/>
              </w:rPr>
            </w:pPr>
            <w:hyperlink r:id="rId9" w:history="1">
              <w:r w:rsidR="00973C3F" w:rsidRPr="00A125AB">
                <w:rPr>
                  <w:rStyle w:val="Hyperlink"/>
                  <w:rFonts w:asciiTheme="minorHAnsi" w:hAnsiTheme="minorHAnsi" w:cs="Arial"/>
                  <w:sz w:val="20"/>
                  <w:szCs w:val="20"/>
                </w:rPr>
                <w:t>https://www.rigb.org/families/family-fun-days</w:t>
              </w:r>
            </w:hyperlink>
          </w:p>
          <w:p w14:paraId="3A71B308" w14:textId="77777777" w:rsidR="00973C3F" w:rsidRPr="00A125AB" w:rsidRDefault="00973C3F" w:rsidP="00973C3F">
            <w:pPr>
              <w:pStyle w:val="NoSpacing"/>
              <w:rPr>
                <w:rFonts w:asciiTheme="minorHAnsi" w:hAnsiTheme="minorHAnsi" w:cs="Arial"/>
                <w:sz w:val="20"/>
                <w:szCs w:val="20"/>
              </w:rPr>
            </w:pPr>
          </w:p>
          <w:p w14:paraId="36EE1612" w14:textId="77777777" w:rsidR="00973C3F" w:rsidRPr="00A125AB"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A125AB">
              <w:rPr>
                <w:rFonts w:asciiTheme="minorHAnsi" w:hAnsiTheme="minorHAnsi" w:cs="Arial"/>
                <w:b/>
                <w:bCs/>
                <w:color w:val="000000"/>
                <w:sz w:val="20"/>
                <w:szCs w:val="20"/>
                <w:lang w:eastAsia="en-GB"/>
              </w:rPr>
              <w:t xml:space="preserve">National Museum of Computing, Bletchley Park (Near Milton Keynes) </w:t>
            </w:r>
          </w:p>
          <w:p w14:paraId="66D1740C" w14:textId="77777777" w:rsidR="00973C3F" w:rsidRPr="00A125AB" w:rsidRDefault="00AE20EE" w:rsidP="00973C3F">
            <w:pPr>
              <w:autoSpaceDE w:val="0"/>
              <w:autoSpaceDN w:val="0"/>
              <w:adjustRightInd w:val="0"/>
              <w:spacing w:after="0" w:line="240" w:lineRule="auto"/>
              <w:rPr>
                <w:rFonts w:asciiTheme="minorHAnsi" w:hAnsiTheme="minorHAnsi" w:cs="Arial"/>
                <w:color w:val="000000"/>
                <w:sz w:val="20"/>
                <w:szCs w:val="20"/>
                <w:lang w:eastAsia="en-GB"/>
              </w:rPr>
            </w:pPr>
            <w:hyperlink r:id="rId10" w:history="1">
              <w:r w:rsidR="00973C3F" w:rsidRPr="00A125AB">
                <w:rPr>
                  <w:rStyle w:val="Hyperlink"/>
                  <w:rFonts w:asciiTheme="minorHAnsi" w:hAnsiTheme="minorHAnsi" w:cs="Arial"/>
                  <w:sz w:val="20"/>
                  <w:szCs w:val="20"/>
                  <w:lang w:eastAsia="en-GB"/>
                </w:rPr>
                <w:t>http://www.tnmoc.org/</w:t>
              </w:r>
            </w:hyperlink>
          </w:p>
          <w:p w14:paraId="0C5DE374" w14:textId="77777777" w:rsidR="00973C3F" w:rsidRPr="00A125AB"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A125AB">
              <w:rPr>
                <w:rFonts w:asciiTheme="minorHAnsi" w:hAnsiTheme="minorHAnsi" w:cs="Arial"/>
                <w:color w:val="000000"/>
                <w:sz w:val="20"/>
                <w:szCs w:val="20"/>
                <w:lang w:eastAsia="en-GB"/>
              </w:rPr>
              <w:t xml:space="preserve"> </w:t>
            </w:r>
          </w:p>
          <w:p w14:paraId="60F5ADB0" w14:textId="77777777" w:rsidR="00973C3F" w:rsidRPr="00A125AB"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A125AB">
              <w:rPr>
                <w:rFonts w:asciiTheme="minorHAnsi" w:hAnsiTheme="minorHAnsi" w:cs="Arial"/>
                <w:color w:val="000000"/>
                <w:sz w:val="20"/>
                <w:szCs w:val="20"/>
                <w:lang w:eastAsia="en-GB"/>
              </w:rPr>
              <w:t>Centre for Computing History, Cambridge</w:t>
            </w:r>
          </w:p>
          <w:p w14:paraId="4C152B47" w14:textId="77777777" w:rsidR="00973C3F" w:rsidRPr="00A125AB" w:rsidRDefault="00AE20EE" w:rsidP="00973C3F">
            <w:pPr>
              <w:autoSpaceDE w:val="0"/>
              <w:autoSpaceDN w:val="0"/>
              <w:adjustRightInd w:val="0"/>
              <w:spacing w:after="0" w:line="240" w:lineRule="auto"/>
              <w:rPr>
                <w:rFonts w:asciiTheme="minorHAnsi" w:hAnsiTheme="minorHAnsi" w:cs="Arial"/>
                <w:color w:val="000000"/>
                <w:sz w:val="20"/>
                <w:szCs w:val="20"/>
                <w:lang w:eastAsia="en-GB"/>
              </w:rPr>
            </w:pPr>
            <w:hyperlink r:id="rId11" w:history="1">
              <w:r w:rsidR="00973C3F" w:rsidRPr="00A125AB">
                <w:rPr>
                  <w:rStyle w:val="Hyperlink"/>
                  <w:rFonts w:asciiTheme="minorHAnsi" w:hAnsiTheme="minorHAnsi" w:cs="Arial"/>
                  <w:sz w:val="20"/>
                  <w:szCs w:val="20"/>
                  <w:lang w:eastAsia="en-GB"/>
                </w:rPr>
                <w:t>http://www.computinghistory.org.uk/</w:t>
              </w:r>
            </w:hyperlink>
          </w:p>
          <w:p w14:paraId="74BB0C95" w14:textId="77777777" w:rsidR="00E25812" w:rsidRPr="00A125AB" w:rsidRDefault="00E25812" w:rsidP="00973C3F">
            <w:pPr>
              <w:pStyle w:val="NoSpacing"/>
              <w:rPr>
                <w:rFonts w:asciiTheme="minorHAnsi" w:hAnsiTheme="minorHAnsi"/>
                <w:sz w:val="20"/>
                <w:szCs w:val="20"/>
              </w:rPr>
            </w:pPr>
          </w:p>
        </w:tc>
      </w:tr>
    </w:tbl>
    <w:p w14:paraId="203C8F81" w14:textId="3128DBF9" w:rsidR="00E25812" w:rsidRDefault="00E25812"/>
    <w:sectPr w:rsidR="00E25812" w:rsidSect="003654CA">
      <w:pgSz w:w="16838" w:h="11906" w:orient="landscape"/>
      <w:pgMar w:top="1440" w:right="39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7A31"/>
    <w:multiLevelType w:val="hybridMultilevel"/>
    <w:tmpl w:val="DD72E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FB5D0D"/>
    <w:multiLevelType w:val="hybridMultilevel"/>
    <w:tmpl w:val="29D6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3046"/>
    <w:multiLevelType w:val="hybridMultilevel"/>
    <w:tmpl w:val="7368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A22E4"/>
    <w:multiLevelType w:val="hybridMultilevel"/>
    <w:tmpl w:val="8E24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73566"/>
    <w:multiLevelType w:val="hybridMultilevel"/>
    <w:tmpl w:val="9F6C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D7E81"/>
    <w:multiLevelType w:val="multilevel"/>
    <w:tmpl w:val="20CC911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EF6864"/>
    <w:multiLevelType w:val="hybridMultilevel"/>
    <w:tmpl w:val="EC201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57906FE"/>
    <w:multiLevelType w:val="hybridMultilevel"/>
    <w:tmpl w:val="D9AAE3E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8"/>
  </w:num>
  <w:num w:numId="6">
    <w:abstractNumId w:val="0"/>
  </w:num>
  <w:num w:numId="7">
    <w:abstractNumId w:val="4"/>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934AA"/>
    <w:rsid w:val="000B27A8"/>
    <w:rsid w:val="000C328B"/>
    <w:rsid w:val="0019433A"/>
    <w:rsid w:val="001C49E8"/>
    <w:rsid w:val="001D2B2F"/>
    <w:rsid w:val="0021786C"/>
    <w:rsid w:val="002218F4"/>
    <w:rsid w:val="002F4DC4"/>
    <w:rsid w:val="00357352"/>
    <w:rsid w:val="003654CA"/>
    <w:rsid w:val="003C4D7F"/>
    <w:rsid w:val="005077F5"/>
    <w:rsid w:val="00511573"/>
    <w:rsid w:val="005849F5"/>
    <w:rsid w:val="006918A6"/>
    <w:rsid w:val="006A268B"/>
    <w:rsid w:val="0071282E"/>
    <w:rsid w:val="007210A9"/>
    <w:rsid w:val="00745B68"/>
    <w:rsid w:val="007D6DC8"/>
    <w:rsid w:val="008976A6"/>
    <w:rsid w:val="009339EC"/>
    <w:rsid w:val="009679F7"/>
    <w:rsid w:val="00973C3F"/>
    <w:rsid w:val="00992ACB"/>
    <w:rsid w:val="00A125AB"/>
    <w:rsid w:val="00A17DBA"/>
    <w:rsid w:val="00A5777F"/>
    <w:rsid w:val="00AD2AE2"/>
    <w:rsid w:val="00AE20EE"/>
    <w:rsid w:val="00AE2B5C"/>
    <w:rsid w:val="00B3461A"/>
    <w:rsid w:val="00B75015"/>
    <w:rsid w:val="00BE1727"/>
    <w:rsid w:val="00C57084"/>
    <w:rsid w:val="00C7338C"/>
    <w:rsid w:val="00CF52AB"/>
    <w:rsid w:val="00D67A80"/>
    <w:rsid w:val="00E25812"/>
    <w:rsid w:val="00E6724A"/>
    <w:rsid w:val="00E7595A"/>
    <w:rsid w:val="00EA020E"/>
    <w:rsid w:val="00EB1D23"/>
    <w:rsid w:val="00EF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1994EB31-4254-4FBC-981D-462B7E09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paragraph" w:styleId="ListParagraph">
    <w:name w:val="List Paragraph"/>
    <w:basedOn w:val="Normal"/>
    <w:uiPriority w:val="34"/>
    <w:qFormat/>
    <w:rsid w:val="006A268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246443">
      <w:bodyDiv w:val="1"/>
      <w:marLeft w:val="0"/>
      <w:marRight w:val="0"/>
      <w:marTop w:val="0"/>
      <w:marBottom w:val="0"/>
      <w:divBdr>
        <w:top w:val="none" w:sz="0" w:space="0" w:color="auto"/>
        <w:left w:val="none" w:sz="0" w:space="0" w:color="auto"/>
        <w:bottom w:val="none" w:sz="0" w:space="0" w:color="auto"/>
        <w:right w:val="none" w:sz="0" w:space="0" w:color="auto"/>
      </w:divBdr>
    </w:div>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museum.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enecalearning.com/classroom/course/a1ce4570-6e27-11e8-af4b-35cf52f905c2/section/65ac2e24-3b57-4598-b4dc-01e04eddee1b/ses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accomputerscience.org/topics/gcse?examBoard=all&amp;stage=all" TargetMode="External"/><Relationship Id="rId11" Type="http://schemas.openxmlformats.org/officeDocument/2006/relationships/hyperlink" Target="http://www.computinghistory.org.uk/" TargetMode="External"/><Relationship Id="rId5" Type="http://schemas.openxmlformats.org/officeDocument/2006/relationships/hyperlink" Target="https://teach-ict.com/2016/GCSE_Computing/OCR_J277/OCR_J277_home.html" TargetMode="External"/><Relationship Id="rId10" Type="http://schemas.openxmlformats.org/officeDocument/2006/relationships/hyperlink" Target="http://www.tnmoc.org/" TargetMode="External"/><Relationship Id="rId4" Type="http://schemas.openxmlformats.org/officeDocument/2006/relationships/webSettings" Target="webSettings.xml"/><Relationship Id="rId9" Type="http://schemas.openxmlformats.org/officeDocument/2006/relationships/hyperlink" Target="https://www.rigb.org/families/family-fun-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11</cp:revision>
  <dcterms:created xsi:type="dcterms:W3CDTF">2022-10-14T06:56:00Z</dcterms:created>
  <dcterms:modified xsi:type="dcterms:W3CDTF">2022-11-03T13:24:00Z</dcterms:modified>
</cp:coreProperties>
</file>