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1417"/>
        <w:gridCol w:w="2127"/>
        <w:gridCol w:w="1559"/>
        <w:gridCol w:w="1843"/>
        <w:gridCol w:w="2268"/>
      </w:tblGrid>
      <w:tr w:rsidR="000354B5" w14:paraId="7B5ECE88" w14:textId="77777777" w:rsidTr="0015005B">
        <w:tc>
          <w:tcPr>
            <w:tcW w:w="2943" w:type="dxa"/>
            <w:shd w:val="clear" w:color="auto" w:fill="auto"/>
          </w:tcPr>
          <w:p w14:paraId="7BDA3CB2" w14:textId="6C8820B4" w:rsidR="000354B5" w:rsidRPr="00FF68F5" w:rsidRDefault="006C0D1D" w:rsidP="00760F99">
            <w:pPr>
              <w:pStyle w:val="NoSpacing"/>
            </w:pPr>
            <w:r>
              <w:t xml:space="preserve">Year </w:t>
            </w:r>
            <w:r w:rsidR="008D3969">
              <w:t>10</w:t>
            </w:r>
            <w:r w:rsidR="000354B5">
              <w:t xml:space="preserve"> </w:t>
            </w:r>
            <w:r w:rsidR="000354B5" w:rsidRPr="00FF68F5">
              <w:t xml:space="preserve">Term </w:t>
            </w:r>
            <w:r w:rsidR="00B34E98">
              <w:t>4&amp;5</w:t>
            </w:r>
            <w:r w:rsidR="000354B5">
              <w:t xml:space="preserve"> - </w:t>
            </w:r>
            <w:r w:rsidR="00760F99">
              <w:t>Drama</w:t>
            </w:r>
          </w:p>
        </w:tc>
        <w:tc>
          <w:tcPr>
            <w:tcW w:w="11766" w:type="dxa"/>
            <w:gridSpan w:val="6"/>
            <w:shd w:val="clear" w:color="auto" w:fill="auto"/>
          </w:tcPr>
          <w:p w14:paraId="7E576F89" w14:textId="77777777" w:rsidR="000354B5" w:rsidRDefault="000354B5" w:rsidP="0015005B">
            <w:pPr>
              <w:pStyle w:val="NoSpacing"/>
            </w:pPr>
          </w:p>
        </w:tc>
      </w:tr>
      <w:tr w:rsidR="000354B5" w:rsidRPr="005A7068" w14:paraId="76198578" w14:textId="77777777" w:rsidTr="0015005B">
        <w:tc>
          <w:tcPr>
            <w:tcW w:w="14709" w:type="dxa"/>
            <w:gridSpan w:val="7"/>
            <w:shd w:val="clear" w:color="auto" w:fill="auto"/>
          </w:tcPr>
          <w:p w14:paraId="7F2629AB" w14:textId="1A385B63" w:rsidR="00643A51" w:rsidRPr="00643A51" w:rsidRDefault="000354B5" w:rsidP="006C0D1D">
            <w:pPr>
              <w:pStyle w:val="NoSpacing"/>
              <w:rPr>
                <w:b/>
                <w:sz w:val="44"/>
              </w:rPr>
            </w:pPr>
            <w:r w:rsidRPr="005A7068">
              <w:rPr>
                <w:b/>
                <w:sz w:val="44"/>
              </w:rPr>
              <w:t xml:space="preserve">Enquiry Question: </w:t>
            </w:r>
            <w:r w:rsidR="00674670">
              <w:rPr>
                <w:b/>
                <w:sz w:val="44"/>
              </w:rPr>
              <w:t>Is our fate already written?</w:t>
            </w:r>
          </w:p>
        </w:tc>
      </w:tr>
      <w:tr w:rsidR="000354B5" w:rsidRPr="006472AF" w14:paraId="51209863" w14:textId="77777777" w:rsidTr="0015005B">
        <w:tc>
          <w:tcPr>
            <w:tcW w:w="14709" w:type="dxa"/>
            <w:gridSpan w:val="7"/>
            <w:shd w:val="clear" w:color="auto" w:fill="auto"/>
          </w:tcPr>
          <w:p w14:paraId="4C2252A4" w14:textId="18FB7A65" w:rsidR="000354B5" w:rsidRDefault="000354B5" w:rsidP="0015005B">
            <w:pPr>
              <w:pStyle w:val="NoSpacing"/>
              <w:rPr>
                <w:b/>
                <w:sz w:val="32"/>
                <w:szCs w:val="32"/>
              </w:rPr>
            </w:pPr>
            <w:r w:rsidRPr="005A7068">
              <w:rPr>
                <w:b/>
                <w:sz w:val="32"/>
                <w:szCs w:val="32"/>
              </w:rPr>
              <w:t xml:space="preserve">Unit title: </w:t>
            </w:r>
            <w:r w:rsidR="00BC5F96">
              <w:rPr>
                <w:b/>
                <w:sz w:val="32"/>
                <w:szCs w:val="32"/>
              </w:rPr>
              <w:t xml:space="preserve">Dramatic Exploration of Text </w:t>
            </w:r>
            <w:r w:rsidR="00AA1B6C">
              <w:rPr>
                <w:b/>
                <w:sz w:val="32"/>
                <w:szCs w:val="32"/>
              </w:rPr>
              <w:t xml:space="preserve">(C3 &amp; C1) </w:t>
            </w:r>
            <w:r w:rsidR="00BC5F96">
              <w:rPr>
                <w:b/>
                <w:sz w:val="32"/>
                <w:szCs w:val="32"/>
              </w:rPr>
              <w:t>– Blood Brothers</w:t>
            </w:r>
          </w:p>
          <w:p w14:paraId="5BC935C4" w14:textId="00F9AA1E" w:rsidR="00BC5F96" w:rsidRPr="006472AF" w:rsidRDefault="000354B5" w:rsidP="0015005B">
            <w:pPr>
              <w:pStyle w:val="NoSpacing"/>
            </w:pPr>
            <w:bookmarkStart w:id="0" w:name="_GoBack"/>
            <w:r w:rsidRPr="00643A51">
              <w:rPr>
                <w:b/>
              </w:rPr>
              <w:t>Why now?</w:t>
            </w:r>
            <w:r>
              <w:t xml:space="preserve">  </w:t>
            </w:r>
            <w:bookmarkEnd w:id="0"/>
            <w:r w:rsidR="00BC5F96">
              <w:t xml:space="preserve">Students have spent the beginning of the year </w:t>
            </w:r>
            <w:r w:rsidR="006B1435">
              <w:t xml:space="preserve">as Theatre Makers, devising theatre for a live audience and reflecting on this process for component 2 of the GCSE. The study of Blood Brothers is a requirement for Component 1. In this unit, we </w:t>
            </w:r>
            <w:r w:rsidR="00BC5F96">
              <w:t>explor</w:t>
            </w:r>
            <w:r w:rsidR="006B1435">
              <w:t>e</w:t>
            </w:r>
            <w:r w:rsidR="00BC5F96">
              <w:t xml:space="preserve"> the whole play </w:t>
            </w:r>
            <w:r w:rsidR="006B1435">
              <w:t>practically, with students widening their understanding of characterisation (physical &amp; vocal skills), proxemics and scripted Drama, culminating in professional live performances which are assessed against GCSE criteria. This experience is a stepping stone for Component 3 at the start of Year 11 (Scripted Exam). Considering the need to apply their knowledge of Blood Brothers to written work</w:t>
            </w:r>
            <w:r w:rsidR="00B34E98">
              <w:t xml:space="preserve"> at the end of Year 11</w:t>
            </w:r>
            <w:r w:rsidR="006B1435">
              <w:t>, flipped learning</w:t>
            </w:r>
            <w:r w:rsidR="00B34E98">
              <w:t>, r</w:t>
            </w:r>
            <w:r w:rsidR="006B1435">
              <w:t xml:space="preserve">esearch and </w:t>
            </w:r>
            <w:r w:rsidR="00B34E98">
              <w:t xml:space="preserve">framing </w:t>
            </w:r>
            <w:r w:rsidR="006B1435">
              <w:t xml:space="preserve">lessons are used so that students </w:t>
            </w:r>
            <w:proofErr w:type="gramStart"/>
            <w:r w:rsidR="006B1435">
              <w:t>have an understanding of</w:t>
            </w:r>
            <w:proofErr w:type="gramEnd"/>
            <w:r w:rsidR="006B1435">
              <w:t xml:space="preserve"> </w:t>
            </w:r>
            <w:r w:rsidR="00BC5F96">
              <w:t xml:space="preserve">the social and cultural context of when the play was written and how this affected its plot, themes and style etc. </w:t>
            </w:r>
          </w:p>
        </w:tc>
      </w:tr>
      <w:tr w:rsidR="000354B5" w14:paraId="4F042374" w14:textId="77777777" w:rsidTr="0015005B">
        <w:tc>
          <w:tcPr>
            <w:tcW w:w="2943" w:type="dxa"/>
            <w:shd w:val="clear" w:color="auto" w:fill="auto"/>
          </w:tcPr>
          <w:p w14:paraId="6A82F54A" w14:textId="77777777" w:rsidR="000354B5" w:rsidRDefault="000354B5" w:rsidP="0015005B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15005B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52" w:type="dxa"/>
            <w:shd w:val="clear" w:color="auto" w:fill="auto"/>
          </w:tcPr>
          <w:p w14:paraId="1DF417F0" w14:textId="77777777" w:rsidR="000354B5" w:rsidRPr="00E47B01" w:rsidRDefault="000354B5" w:rsidP="0015005B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15005B">
            <w:pPr>
              <w:pStyle w:val="NoSpacing"/>
            </w:pPr>
            <w:r>
              <w:t>Students will be able to…</w:t>
            </w:r>
          </w:p>
        </w:tc>
        <w:tc>
          <w:tcPr>
            <w:tcW w:w="1417" w:type="dxa"/>
            <w:shd w:val="clear" w:color="auto" w:fill="auto"/>
          </w:tcPr>
          <w:p w14:paraId="1A4EDE4D" w14:textId="77777777" w:rsidR="000354B5" w:rsidRDefault="000354B5" w:rsidP="0015005B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15005B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127" w:type="dxa"/>
            <w:shd w:val="clear" w:color="auto" w:fill="auto"/>
          </w:tcPr>
          <w:p w14:paraId="0F90272B" w14:textId="77777777" w:rsidR="000354B5" w:rsidRDefault="000354B5" w:rsidP="0015005B">
            <w:pPr>
              <w:pStyle w:val="NoSpacing"/>
            </w:pPr>
            <w:r>
              <w:t>Home Learning</w:t>
            </w:r>
          </w:p>
        </w:tc>
        <w:tc>
          <w:tcPr>
            <w:tcW w:w="1559" w:type="dxa"/>
            <w:shd w:val="clear" w:color="auto" w:fill="auto"/>
          </w:tcPr>
          <w:p w14:paraId="283B5977" w14:textId="77777777" w:rsidR="000354B5" w:rsidRDefault="000354B5" w:rsidP="0015005B">
            <w:pPr>
              <w:pStyle w:val="NoSpacing"/>
            </w:pPr>
            <w:r>
              <w:t>Assessment</w:t>
            </w:r>
          </w:p>
        </w:tc>
        <w:tc>
          <w:tcPr>
            <w:tcW w:w="1843" w:type="dxa"/>
            <w:shd w:val="clear" w:color="auto" w:fill="auto"/>
          </w:tcPr>
          <w:p w14:paraId="07E3F098" w14:textId="77777777" w:rsidR="000354B5" w:rsidRDefault="000354B5" w:rsidP="0015005B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15005B">
            <w:pPr>
              <w:pStyle w:val="NoSpacing"/>
            </w:pPr>
            <w:r>
              <w:t>Extended Reading</w:t>
            </w:r>
          </w:p>
        </w:tc>
        <w:tc>
          <w:tcPr>
            <w:tcW w:w="2268" w:type="dxa"/>
            <w:shd w:val="clear" w:color="auto" w:fill="auto"/>
          </w:tcPr>
          <w:p w14:paraId="42C77D6F" w14:textId="77777777" w:rsidR="000354B5" w:rsidRDefault="000354B5" w:rsidP="0015005B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15005B">
            <w:pPr>
              <w:pStyle w:val="NoSpacing"/>
            </w:pPr>
          </w:p>
        </w:tc>
      </w:tr>
      <w:tr w:rsidR="000354B5" w14:paraId="16F9AA10" w14:textId="77777777" w:rsidTr="0015005B">
        <w:trPr>
          <w:trHeight w:val="3010"/>
        </w:trPr>
        <w:tc>
          <w:tcPr>
            <w:tcW w:w="2943" w:type="dxa"/>
            <w:shd w:val="clear" w:color="auto" w:fill="auto"/>
          </w:tcPr>
          <w:p w14:paraId="268C2A08" w14:textId="579593E0" w:rsidR="00A654BF" w:rsidRDefault="00BC5F96" w:rsidP="0015005B">
            <w:pPr>
              <w:pStyle w:val="NoSpacing"/>
            </w:pPr>
            <w:r>
              <w:t>The narrative and characters of the play.</w:t>
            </w:r>
          </w:p>
          <w:p w14:paraId="2056F01D" w14:textId="4246460D" w:rsidR="00BC5F96" w:rsidRDefault="00BC5F96" w:rsidP="0015005B">
            <w:pPr>
              <w:pStyle w:val="NoSpacing"/>
            </w:pPr>
          </w:p>
          <w:p w14:paraId="1CFA3F6F" w14:textId="15F225FA" w:rsidR="00BC5F96" w:rsidRDefault="00BC5F96" w:rsidP="0015005B">
            <w:pPr>
              <w:pStyle w:val="NoSpacing"/>
            </w:pPr>
            <w:r>
              <w:t>The style of the play.</w:t>
            </w:r>
          </w:p>
          <w:p w14:paraId="05A7AACF" w14:textId="0C508984" w:rsidR="00BC5F96" w:rsidRDefault="00BC5F96" w:rsidP="0015005B">
            <w:pPr>
              <w:pStyle w:val="NoSpacing"/>
            </w:pPr>
          </w:p>
          <w:p w14:paraId="08B836EB" w14:textId="21F92424" w:rsidR="00BC5F96" w:rsidRDefault="00BC5F96" w:rsidP="0015005B">
            <w:pPr>
              <w:pStyle w:val="NoSpacing"/>
            </w:pPr>
            <w:r>
              <w:t>The social and cultural climate of the time it was written.</w:t>
            </w:r>
          </w:p>
          <w:p w14:paraId="6DEC2B5A" w14:textId="18481754" w:rsidR="00BC5F96" w:rsidRDefault="00BC5F96" w:rsidP="0015005B">
            <w:pPr>
              <w:pStyle w:val="NoSpacing"/>
            </w:pPr>
          </w:p>
          <w:p w14:paraId="20B3C044" w14:textId="425C307E" w:rsidR="00BC5F96" w:rsidRDefault="00BC5F96" w:rsidP="0015005B">
            <w:pPr>
              <w:pStyle w:val="NoSpacing"/>
            </w:pPr>
            <w:r>
              <w:t>The structure of the play.</w:t>
            </w:r>
          </w:p>
          <w:p w14:paraId="65BD216C" w14:textId="23B8094C" w:rsidR="00BC5F96" w:rsidRDefault="00BC5F96" w:rsidP="0015005B">
            <w:pPr>
              <w:pStyle w:val="NoSpacing"/>
            </w:pPr>
          </w:p>
          <w:p w14:paraId="66497303" w14:textId="4DE4CC91" w:rsidR="00BC5F96" w:rsidRDefault="00BC5F96" w:rsidP="0015005B">
            <w:pPr>
              <w:pStyle w:val="NoSpacing"/>
            </w:pPr>
            <w:r>
              <w:t>The symbolic references in the play.</w:t>
            </w:r>
          </w:p>
          <w:p w14:paraId="5D88C113" w14:textId="6263CD0B" w:rsidR="00BC5F96" w:rsidRDefault="00BC5F96" w:rsidP="0015005B">
            <w:pPr>
              <w:pStyle w:val="NoSpacing"/>
            </w:pPr>
          </w:p>
          <w:p w14:paraId="29BE025A" w14:textId="7C34C5F2" w:rsidR="00BC5F96" w:rsidRDefault="00BC5F96" w:rsidP="0015005B">
            <w:pPr>
              <w:pStyle w:val="NoSpacing"/>
            </w:pPr>
            <w:r>
              <w:t>Vocal &amp; Physical skills needed to play key characters in the play.</w:t>
            </w:r>
          </w:p>
          <w:p w14:paraId="0F9AC3D0" w14:textId="3F56AF72" w:rsidR="00BC5F96" w:rsidRDefault="00BC5F96" w:rsidP="0015005B">
            <w:pPr>
              <w:pStyle w:val="NoSpacing"/>
            </w:pPr>
          </w:p>
          <w:p w14:paraId="5798D578" w14:textId="2DE9BB97" w:rsidR="00760F99" w:rsidRDefault="00BC5F96" w:rsidP="0015005B">
            <w:pPr>
              <w:pStyle w:val="NoSpacing"/>
            </w:pPr>
            <w:r>
              <w:t>What proxemics is in performance.</w:t>
            </w:r>
          </w:p>
        </w:tc>
        <w:tc>
          <w:tcPr>
            <w:tcW w:w="2552" w:type="dxa"/>
            <w:shd w:val="clear" w:color="auto" w:fill="auto"/>
          </w:tcPr>
          <w:p w14:paraId="1697F5CA" w14:textId="17EBFD9C" w:rsidR="000354B5" w:rsidRPr="00BC5F96" w:rsidRDefault="00BC5F96" w:rsidP="0015005B">
            <w:pPr>
              <w:pStyle w:val="NoSpacing"/>
            </w:pPr>
            <w:r>
              <w:rPr>
                <w:b/>
              </w:rPr>
              <w:t xml:space="preserve">Create </w:t>
            </w:r>
            <w:r>
              <w:t>well informed</w:t>
            </w:r>
            <w:r w:rsidRPr="00BC5F96">
              <w:t xml:space="preserve"> performances of script extracts</w:t>
            </w:r>
          </w:p>
          <w:p w14:paraId="137C7694" w14:textId="77777777" w:rsidR="00760F99" w:rsidRDefault="00760F99" w:rsidP="0015005B">
            <w:pPr>
              <w:pStyle w:val="NoSpacing"/>
            </w:pPr>
          </w:p>
          <w:p w14:paraId="5127A56F" w14:textId="0CFC9243" w:rsidR="0018659B" w:rsidRDefault="00760F99" w:rsidP="0015005B">
            <w:pPr>
              <w:pStyle w:val="NoSpacing"/>
            </w:pPr>
            <w:r w:rsidRPr="0018659B">
              <w:rPr>
                <w:b/>
              </w:rPr>
              <w:t>Perform</w:t>
            </w:r>
            <w:r>
              <w:t xml:space="preserve"> </w:t>
            </w:r>
            <w:r w:rsidR="00BC5F96">
              <w:t xml:space="preserve">believable &amp; professional script extracts </w:t>
            </w:r>
          </w:p>
          <w:p w14:paraId="7089AEBE" w14:textId="77777777" w:rsidR="0018659B" w:rsidRDefault="0018659B" w:rsidP="0015005B">
            <w:pPr>
              <w:pStyle w:val="NoSpacing"/>
            </w:pPr>
          </w:p>
          <w:p w14:paraId="6D0199CB" w14:textId="6F414DAA" w:rsidR="0018659B" w:rsidRDefault="0018659B" w:rsidP="0015005B">
            <w:pPr>
              <w:pStyle w:val="NoSpacing"/>
            </w:pPr>
            <w:r w:rsidRPr="0018659B">
              <w:rPr>
                <w:b/>
              </w:rPr>
              <w:t>Respond</w:t>
            </w:r>
            <w:r>
              <w:t xml:space="preserve"> to </w:t>
            </w:r>
            <w:r w:rsidR="00BC5F96">
              <w:t xml:space="preserve">the play Blood Brothers, its key moments, characters and style. </w:t>
            </w:r>
          </w:p>
          <w:p w14:paraId="374D5B82" w14:textId="2DBC61AB" w:rsidR="00BC5F96" w:rsidRDefault="00BC5F96" w:rsidP="0015005B">
            <w:pPr>
              <w:pStyle w:val="NoSpacing"/>
            </w:pPr>
          </w:p>
          <w:p w14:paraId="562386A1" w14:textId="0B12524A" w:rsidR="0018659B" w:rsidRDefault="00BC5F96" w:rsidP="0015005B">
            <w:pPr>
              <w:pStyle w:val="NoSpacing"/>
            </w:pPr>
            <w:r w:rsidRPr="00BC5F96">
              <w:rPr>
                <w:b/>
              </w:rPr>
              <w:t>Respond</w:t>
            </w:r>
            <w:r>
              <w:t xml:space="preserve"> to performances of the script, giving feedback to peers &amp; self to improve.</w:t>
            </w:r>
          </w:p>
          <w:p w14:paraId="198C5C2A" w14:textId="397ED113" w:rsidR="0018659B" w:rsidRDefault="0018659B" w:rsidP="0015005B">
            <w:pPr>
              <w:pStyle w:val="NoSpacing"/>
            </w:pPr>
          </w:p>
        </w:tc>
        <w:tc>
          <w:tcPr>
            <w:tcW w:w="1417" w:type="dxa"/>
            <w:shd w:val="clear" w:color="auto" w:fill="auto"/>
          </w:tcPr>
          <w:p w14:paraId="18E523D4" w14:textId="3CC114CC" w:rsidR="00A654BF" w:rsidRDefault="00BC5F96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Musical</w:t>
            </w:r>
          </w:p>
          <w:p w14:paraId="56479DBD" w14:textId="147B4E61" w:rsidR="00BC5F96" w:rsidRDefault="00BC5F96" w:rsidP="0015005B">
            <w:pPr>
              <w:pStyle w:val="NoSpacing"/>
              <w:rPr>
                <w:sz w:val="20"/>
              </w:rPr>
            </w:pPr>
          </w:p>
          <w:p w14:paraId="597A963C" w14:textId="4FEB6E9B" w:rsidR="00BC5F96" w:rsidRDefault="00BC5F96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Cyclical</w:t>
            </w:r>
          </w:p>
          <w:p w14:paraId="15FF061B" w14:textId="7399EC75" w:rsidR="00BC5F96" w:rsidRDefault="00BC5F96" w:rsidP="0015005B">
            <w:pPr>
              <w:pStyle w:val="NoSpacing"/>
              <w:rPr>
                <w:sz w:val="20"/>
              </w:rPr>
            </w:pPr>
          </w:p>
          <w:p w14:paraId="73113C9C" w14:textId="0CF34CE1" w:rsidR="00BC5F96" w:rsidRDefault="00BC5F96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Liverpudlian</w:t>
            </w:r>
          </w:p>
          <w:p w14:paraId="6CD900D8" w14:textId="5C0245A5" w:rsidR="00BC5F96" w:rsidRDefault="00BC5F96" w:rsidP="0015005B">
            <w:pPr>
              <w:pStyle w:val="NoSpacing"/>
              <w:rPr>
                <w:sz w:val="20"/>
              </w:rPr>
            </w:pPr>
          </w:p>
          <w:p w14:paraId="5E36A96D" w14:textId="77B5F43E" w:rsidR="00BC5F96" w:rsidRDefault="00BC5F96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Recession</w:t>
            </w:r>
          </w:p>
          <w:p w14:paraId="1A67F3AC" w14:textId="20FBDEC9" w:rsidR="00BC5F96" w:rsidRDefault="00BC5F96" w:rsidP="0015005B">
            <w:pPr>
              <w:pStyle w:val="NoSpacing"/>
              <w:rPr>
                <w:sz w:val="20"/>
              </w:rPr>
            </w:pPr>
          </w:p>
          <w:p w14:paraId="799E7B90" w14:textId="3D8F39CC" w:rsidR="00BC5F96" w:rsidRDefault="00506297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Middle Class &amp; Working Class</w:t>
            </w:r>
          </w:p>
          <w:p w14:paraId="3AA91483" w14:textId="0384B16C" w:rsidR="00506297" w:rsidRDefault="00506297" w:rsidP="0015005B">
            <w:pPr>
              <w:pStyle w:val="NoSpacing"/>
              <w:rPr>
                <w:sz w:val="20"/>
              </w:rPr>
            </w:pPr>
          </w:p>
          <w:p w14:paraId="149728D2" w14:textId="3365364D" w:rsidR="00506297" w:rsidRDefault="00506297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Informal &amp; Formal</w:t>
            </w:r>
          </w:p>
          <w:p w14:paraId="4CE1081B" w14:textId="7000CF5E" w:rsidR="00506297" w:rsidRDefault="00506297" w:rsidP="0015005B">
            <w:pPr>
              <w:pStyle w:val="NoSpacing"/>
              <w:rPr>
                <w:sz w:val="20"/>
              </w:rPr>
            </w:pPr>
          </w:p>
          <w:p w14:paraId="1F371AEB" w14:textId="684869CF" w:rsidR="00506297" w:rsidRDefault="00506297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Vocal Skills</w:t>
            </w:r>
          </w:p>
          <w:p w14:paraId="3D101F50" w14:textId="2E8E163B" w:rsidR="00506297" w:rsidRDefault="00506297" w:rsidP="0015005B">
            <w:pPr>
              <w:pStyle w:val="NoSpacing"/>
              <w:rPr>
                <w:sz w:val="20"/>
              </w:rPr>
            </w:pPr>
          </w:p>
          <w:p w14:paraId="1BF7AAEE" w14:textId="403D24FF" w:rsidR="00506297" w:rsidRDefault="00506297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Physical Skills</w:t>
            </w:r>
          </w:p>
          <w:p w14:paraId="07F65C3B" w14:textId="113CE7B4" w:rsidR="00506297" w:rsidRDefault="00506297" w:rsidP="0015005B">
            <w:pPr>
              <w:pStyle w:val="NoSpacing"/>
              <w:rPr>
                <w:sz w:val="20"/>
              </w:rPr>
            </w:pPr>
          </w:p>
          <w:p w14:paraId="68919491" w14:textId="60A4273B" w:rsidR="00506297" w:rsidRDefault="00506297" w:rsidP="0015005B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Proxemics</w:t>
            </w:r>
          </w:p>
          <w:p w14:paraId="6AB9EE5D" w14:textId="3A81A2BD" w:rsidR="00A654BF" w:rsidRDefault="00A654BF" w:rsidP="0015005B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3745BD88" w14:textId="69B9A16F" w:rsidR="000354B5" w:rsidRDefault="0018659B" w:rsidP="0015005B">
            <w:pPr>
              <w:pStyle w:val="NoSpacing"/>
            </w:pPr>
            <w:r>
              <w:t xml:space="preserve">Students will be asked to </w:t>
            </w:r>
            <w:r w:rsidR="00506297">
              <w:t xml:space="preserve">learn lines, </w:t>
            </w:r>
            <w:r>
              <w:t>meet &amp; rehearse with their group outside of lesson, ready for performance.</w:t>
            </w:r>
          </w:p>
          <w:p w14:paraId="0B7DAC38" w14:textId="6F449F0E" w:rsidR="00506297" w:rsidRDefault="00506297" w:rsidP="0015005B">
            <w:pPr>
              <w:pStyle w:val="NoSpacing"/>
            </w:pPr>
          </w:p>
          <w:p w14:paraId="3696DD90" w14:textId="35D913E8" w:rsidR="00506297" w:rsidRDefault="00506297" w:rsidP="0015005B">
            <w:pPr>
              <w:pStyle w:val="NoSpacing"/>
            </w:pPr>
            <w:r>
              <w:t>Blood Brothers Home Learning book will be introduced half way through the unit.</w:t>
            </w:r>
          </w:p>
          <w:p w14:paraId="299CB71B" w14:textId="77777777" w:rsidR="00A654BF" w:rsidRDefault="00A654BF" w:rsidP="0015005B">
            <w:pPr>
              <w:pStyle w:val="NoSpacing"/>
            </w:pPr>
          </w:p>
          <w:p w14:paraId="7C293FC0" w14:textId="34AD4160" w:rsidR="00A654BF" w:rsidRDefault="00A654BF" w:rsidP="0015005B">
            <w:pPr>
              <w:pStyle w:val="NoSpacing"/>
            </w:pPr>
            <w:r>
              <w:t>Unit Overview sheet to complete at home</w:t>
            </w:r>
            <w:r w:rsidR="00643A51">
              <w:t>.</w:t>
            </w:r>
          </w:p>
          <w:p w14:paraId="75B1E267" w14:textId="44478427" w:rsidR="00643A51" w:rsidRDefault="00643A51" w:rsidP="0015005B">
            <w:pPr>
              <w:pStyle w:val="NoSpacing"/>
            </w:pPr>
          </w:p>
          <w:p w14:paraId="49634000" w14:textId="3AE726F9" w:rsidR="000354B5" w:rsidRDefault="00643A51" w:rsidP="0015005B">
            <w:pPr>
              <w:pStyle w:val="NoSpacing"/>
            </w:pPr>
            <w:r>
              <w:t>Use of Google classroom.</w:t>
            </w:r>
          </w:p>
        </w:tc>
        <w:tc>
          <w:tcPr>
            <w:tcW w:w="1559" w:type="dxa"/>
            <w:shd w:val="clear" w:color="auto" w:fill="auto"/>
          </w:tcPr>
          <w:p w14:paraId="28A6AE1C" w14:textId="77777777" w:rsidR="0018659B" w:rsidRDefault="0018659B" w:rsidP="0015005B">
            <w:pPr>
              <w:pStyle w:val="NoSpacing"/>
            </w:pPr>
            <w:r>
              <w:t>Regular monitoring of transferable skills in rehearsal.</w:t>
            </w:r>
          </w:p>
          <w:p w14:paraId="401C8423" w14:textId="77777777" w:rsidR="0018659B" w:rsidRDefault="0018659B" w:rsidP="0015005B">
            <w:pPr>
              <w:pStyle w:val="NoSpacing"/>
            </w:pPr>
          </w:p>
          <w:p w14:paraId="21060DD4" w14:textId="77777777" w:rsidR="0018659B" w:rsidRDefault="0018659B" w:rsidP="0015005B">
            <w:pPr>
              <w:pStyle w:val="NoSpacing"/>
            </w:pPr>
            <w:r>
              <w:t>Regular monitoring of performance skills (students perform every lesson).</w:t>
            </w:r>
          </w:p>
          <w:p w14:paraId="31784682" w14:textId="77777777" w:rsidR="0018659B" w:rsidRDefault="0018659B" w:rsidP="0015005B">
            <w:pPr>
              <w:pStyle w:val="NoSpacing"/>
            </w:pPr>
          </w:p>
          <w:p w14:paraId="64E0C247" w14:textId="739B4323" w:rsidR="000354B5" w:rsidRDefault="0018659B" w:rsidP="0015005B">
            <w:pPr>
              <w:pStyle w:val="NoSpacing"/>
            </w:pPr>
            <w:r>
              <w:t>End of unit performance &amp; responding assessment.</w:t>
            </w:r>
          </w:p>
        </w:tc>
        <w:tc>
          <w:tcPr>
            <w:tcW w:w="1843" w:type="dxa"/>
            <w:shd w:val="clear" w:color="auto" w:fill="auto"/>
          </w:tcPr>
          <w:p w14:paraId="36A676F6" w14:textId="083233AA" w:rsidR="000354B5" w:rsidRDefault="00506297" w:rsidP="0015005B">
            <w:pPr>
              <w:pStyle w:val="NoSpacing"/>
              <w:rPr>
                <w:i/>
              </w:rPr>
            </w:pPr>
            <w:r>
              <w:rPr>
                <w:i/>
              </w:rPr>
              <w:t xml:space="preserve">Blood Brothers </w:t>
            </w:r>
            <w:r w:rsidRPr="00506297">
              <w:t>by Willy Russell</w:t>
            </w:r>
          </w:p>
          <w:p w14:paraId="08F4BC7B" w14:textId="2FEF653F" w:rsidR="00506297" w:rsidRDefault="00506297" w:rsidP="0015005B">
            <w:pPr>
              <w:pStyle w:val="NoSpacing"/>
            </w:pPr>
          </w:p>
          <w:p w14:paraId="0E0BDBF6" w14:textId="6633FE20" w:rsidR="00506297" w:rsidRDefault="00506297" w:rsidP="0015005B">
            <w:pPr>
              <w:pStyle w:val="NoSpacing"/>
            </w:pPr>
            <w:r w:rsidRPr="00506297">
              <w:rPr>
                <w:i/>
              </w:rPr>
              <w:t xml:space="preserve">‘Blood Brothers’ </w:t>
            </w:r>
            <w:proofErr w:type="gramStart"/>
            <w:r w:rsidRPr="00506297">
              <w:rPr>
                <w:i/>
              </w:rPr>
              <w:t>The</w:t>
            </w:r>
            <w:proofErr w:type="gramEnd"/>
            <w:r w:rsidRPr="00506297">
              <w:rPr>
                <w:i/>
              </w:rPr>
              <w:t xml:space="preserve"> Play Guide</w:t>
            </w:r>
            <w:r>
              <w:t xml:space="preserve"> by CGP</w:t>
            </w:r>
          </w:p>
          <w:p w14:paraId="73A90802" w14:textId="36A534A1" w:rsidR="00506297" w:rsidRDefault="00506297" w:rsidP="0015005B">
            <w:pPr>
              <w:pStyle w:val="NoSpacing"/>
            </w:pPr>
          </w:p>
          <w:p w14:paraId="7AE0E0B9" w14:textId="5C0EB52E" w:rsidR="00506297" w:rsidRDefault="00506297" w:rsidP="0015005B">
            <w:pPr>
              <w:pStyle w:val="NoSpacing"/>
            </w:pPr>
            <w:r>
              <w:t>Watch LPS School Production of Blood Brothers</w:t>
            </w:r>
          </w:p>
          <w:p w14:paraId="3B499727" w14:textId="11388D29" w:rsidR="00506297" w:rsidRDefault="00506297" w:rsidP="0015005B">
            <w:pPr>
              <w:pStyle w:val="NoSpacing"/>
            </w:pPr>
          </w:p>
          <w:p w14:paraId="418C1724" w14:textId="1CB6FF19" w:rsidR="00506297" w:rsidRDefault="00506297" w:rsidP="0015005B">
            <w:pPr>
              <w:pStyle w:val="NoSpacing"/>
            </w:pPr>
            <w:r>
              <w:t xml:space="preserve">Watch key extracts on </w:t>
            </w:r>
            <w:proofErr w:type="spellStart"/>
            <w:r>
              <w:t>youtube</w:t>
            </w:r>
            <w:proofErr w:type="spellEnd"/>
            <w:r>
              <w:t xml:space="preserve"> (i.e. Mickey &amp; Eddie meet aged 7)</w:t>
            </w:r>
          </w:p>
          <w:p w14:paraId="1DC66749" w14:textId="77777777" w:rsidR="00A654BF" w:rsidRDefault="00A654BF" w:rsidP="0015005B">
            <w:pPr>
              <w:pStyle w:val="NoSpacing"/>
            </w:pPr>
          </w:p>
          <w:p w14:paraId="2C341720" w14:textId="77777777" w:rsidR="00A654BF" w:rsidRPr="006472AF" w:rsidRDefault="00A654BF" w:rsidP="0015005B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15005B">
            <w:pPr>
              <w:pStyle w:val="NoSpacing"/>
            </w:pPr>
          </w:p>
        </w:tc>
        <w:tc>
          <w:tcPr>
            <w:tcW w:w="2268" w:type="dxa"/>
            <w:shd w:val="clear" w:color="auto" w:fill="auto"/>
          </w:tcPr>
          <w:p w14:paraId="55194BBB" w14:textId="6AC59746" w:rsidR="0018659B" w:rsidRDefault="00506297" w:rsidP="0015005B">
            <w:pPr>
              <w:pStyle w:val="NoSpacing"/>
            </w:pPr>
            <w:r>
              <w:t>Research Britain late 1950’s – early 80’s</w:t>
            </w:r>
          </w:p>
          <w:p w14:paraId="394952CA" w14:textId="4CF9DAAF" w:rsidR="00506297" w:rsidRDefault="00506297" w:rsidP="0015005B">
            <w:pPr>
              <w:pStyle w:val="NoSpacing"/>
            </w:pPr>
          </w:p>
          <w:p w14:paraId="28475A78" w14:textId="62CF6433" w:rsidR="00506297" w:rsidRDefault="00506297" w:rsidP="0015005B">
            <w:pPr>
              <w:pStyle w:val="NoSpacing"/>
            </w:pPr>
            <w:r>
              <w:t>Knowledge of Liverpool and colloquial language</w:t>
            </w:r>
          </w:p>
          <w:p w14:paraId="4943F402" w14:textId="4EF4D7C1" w:rsidR="00506297" w:rsidRDefault="00506297" w:rsidP="0015005B">
            <w:pPr>
              <w:pStyle w:val="NoSpacing"/>
            </w:pPr>
          </w:p>
          <w:p w14:paraId="2205D797" w14:textId="0099F8C8" w:rsidR="00506297" w:rsidRDefault="00506297" w:rsidP="0015005B">
            <w:pPr>
              <w:pStyle w:val="NoSpacing"/>
            </w:pPr>
          </w:p>
          <w:p w14:paraId="7C38C505" w14:textId="77777777" w:rsidR="00A654BF" w:rsidRDefault="00A654BF" w:rsidP="0015005B">
            <w:pPr>
              <w:pStyle w:val="NoSpacing"/>
            </w:pPr>
          </w:p>
          <w:p w14:paraId="6BD2F479" w14:textId="6567EAF5" w:rsidR="00A654BF" w:rsidRDefault="00A654BF" w:rsidP="0015005B">
            <w:pPr>
              <w:pStyle w:val="NoSpacing"/>
            </w:pPr>
          </w:p>
        </w:tc>
      </w:tr>
    </w:tbl>
    <w:p w14:paraId="7C151D00" w14:textId="467B1DF3" w:rsidR="0015005B" w:rsidRDefault="0015005B"/>
    <w:sectPr w:rsidR="0015005B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354B5"/>
    <w:rsid w:val="0015005B"/>
    <w:rsid w:val="00170595"/>
    <w:rsid w:val="0018659B"/>
    <w:rsid w:val="004A53B4"/>
    <w:rsid w:val="00506297"/>
    <w:rsid w:val="00643A51"/>
    <w:rsid w:val="00674670"/>
    <w:rsid w:val="006B1435"/>
    <w:rsid w:val="006C0D1D"/>
    <w:rsid w:val="006D3989"/>
    <w:rsid w:val="00760F99"/>
    <w:rsid w:val="007D7D7E"/>
    <w:rsid w:val="007F1EC2"/>
    <w:rsid w:val="008C143A"/>
    <w:rsid w:val="008D3969"/>
    <w:rsid w:val="00912B88"/>
    <w:rsid w:val="009C39D0"/>
    <w:rsid w:val="009C6686"/>
    <w:rsid w:val="00A46347"/>
    <w:rsid w:val="00A654BF"/>
    <w:rsid w:val="00AA1B6C"/>
    <w:rsid w:val="00AF5436"/>
    <w:rsid w:val="00B34E98"/>
    <w:rsid w:val="00BC5F96"/>
    <w:rsid w:val="00D05FEB"/>
    <w:rsid w:val="00E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CED69261-E06E-4743-983E-D418B64D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5BC691C7</Template>
  <TotalTime>19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Anurag Jain</dc:creator>
  <cp:lastModifiedBy>N Robinson</cp:lastModifiedBy>
  <cp:revision>5</cp:revision>
  <dcterms:created xsi:type="dcterms:W3CDTF">2020-03-02T14:34:00Z</dcterms:created>
  <dcterms:modified xsi:type="dcterms:W3CDTF">2020-07-16T12:57:00Z</dcterms:modified>
</cp:coreProperties>
</file>