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8D33" w14:textId="77777777" w:rsidR="000C58E2" w:rsidRDefault="000C58E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418"/>
        <w:gridCol w:w="2410"/>
        <w:gridCol w:w="1559"/>
        <w:gridCol w:w="2013"/>
        <w:gridCol w:w="2098"/>
      </w:tblGrid>
      <w:tr w:rsidR="000354B5" w14:paraId="7B5ECE88" w14:textId="77777777" w:rsidTr="00FD0297">
        <w:tc>
          <w:tcPr>
            <w:tcW w:w="2943" w:type="dxa"/>
            <w:shd w:val="clear" w:color="auto" w:fill="auto"/>
          </w:tcPr>
          <w:p w14:paraId="7BDA3CB2" w14:textId="04B78BDE" w:rsidR="000354B5" w:rsidRPr="00FF68F5" w:rsidRDefault="002F238A" w:rsidP="00760F99">
            <w:pPr>
              <w:pStyle w:val="NoSpacing"/>
            </w:pPr>
            <w:r>
              <w:t>Year 11</w:t>
            </w:r>
            <w:r w:rsidR="000354B5">
              <w:t xml:space="preserve"> </w:t>
            </w:r>
            <w:r>
              <w:t xml:space="preserve">Term </w:t>
            </w:r>
            <w:r w:rsidR="00E00BF0">
              <w:t>3,4 &amp; 5</w:t>
            </w:r>
            <w:r w:rsidR="000354B5">
              <w:t xml:space="preserve"> </w:t>
            </w:r>
            <w:r w:rsidR="00760F99">
              <w:t>Drama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77777777" w:rsidR="000354B5" w:rsidRDefault="000354B5" w:rsidP="002F238A">
            <w:pPr>
              <w:pStyle w:val="NoSpacing"/>
            </w:pPr>
          </w:p>
        </w:tc>
      </w:tr>
      <w:tr w:rsidR="000354B5" w:rsidRPr="005A7068" w14:paraId="76198578" w14:textId="77777777" w:rsidTr="002F238A">
        <w:tc>
          <w:tcPr>
            <w:tcW w:w="14709" w:type="dxa"/>
            <w:gridSpan w:val="7"/>
            <w:shd w:val="clear" w:color="auto" w:fill="auto"/>
          </w:tcPr>
          <w:p w14:paraId="7F2629AB" w14:textId="3AA0578F" w:rsidR="000354B5" w:rsidRPr="005A7068" w:rsidRDefault="000354B5" w:rsidP="00C236F2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C82270">
              <w:rPr>
                <w:b/>
                <w:sz w:val="44"/>
              </w:rPr>
              <w:t>Why is Drama not just for actors?</w:t>
            </w:r>
          </w:p>
        </w:tc>
      </w:tr>
      <w:tr w:rsidR="000354B5" w:rsidRPr="006472AF" w14:paraId="51209863" w14:textId="77777777" w:rsidTr="002F238A">
        <w:tc>
          <w:tcPr>
            <w:tcW w:w="14709" w:type="dxa"/>
            <w:gridSpan w:val="7"/>
            <w:shd w:val="clear" w:color="auto" w:fill="auto"/>
          </w:tcPr>
          <w:p w14:paraId="4C2252A4" w14:textId="4AC6067B" w:rsidR="000354B5" w:rsidRDefault="000354B5" w:rsidP="002F238A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2F238A">
              <w:rPr>
                <w:b/>
                <w:sz w:val="32"/>
                <w:szCs w:val="32"/>
              </w:rPr>
              <w:t xml:space="preserve">Component </w:t>
            </w:r>
            <w:r w:rsidR="00424EA3">
              <w:rPr>
                <w:b/>
                <w:sz w:val="32"/>
                <w:szCs w:val="32"/>
              </w:rPr>
              <w:t>1</w:t>
            </w:r>
            <w:r w:rsidR="002F238A">
              <w:rPr>
                <w:b/>
                <w:sz w:val="32"/>
                <w:szCs w:val="32"/>
              </w:rPr>
              <w:t xml:space="preserve"> – </w:t>
            </w:r>
            <w:r w:rsidR="00424EA3">
              <w:rPr>
                <w:b/>
                <w:sz w:val="32"/>
                <w:szCs w:val="32"/>
              </w:rPr>
              <w:t>Understanding Drama</w:t>
            </w:r>
          </w:p>
          <w:p w14:paraId="5BC935C4" w14:textId="72D3F6F4" w:rsidR="000354B5" w:rsidRPr="006472AF" w:rsidRDefault="000354B5" w:rsidP="00C236F2">
            <w:pPr>
              <w:pStyle w:val="NoSpacing"/>
            </w:pPr>
            <w:r w:rsidRPr="001F7564">
              <w:rPr>
                <w:b/>
              </w:rPr>
              <w:t>Why now?</w:t>
            </w:r>
            <w:r>
              <w:t xml:space="preserve">  </w:t>
            </w:r>
            <w:r w:rsidR="009130BB">
              <w:t xml:space="preserve">As students reach the end of their Drama education at LPS, gained knowledge and skills are applied to a written exam. The exam assesses student’s knowledge and understanding of how Drama and Theatre is developed and performed (AO3), including in connection to a set play and on their ability to analyse and evaluate the live theatre work of others (AO4). </w:t>
            </w:r>
            <w:r w:rsidR="00C82270">
              <w:t xml:space="preserve"> Students graduate reflecting on their first ever Drama Enquiry Question ‘Why is Drama not just for actors?’ – the progression over time should be clear to all stakeholders.</w:t>
            </w:r>
          </w:p>
        </w:tc>
      </w:tr>
      <w:tr w:rsidR="000354B5" w14:paraId="4F042374" w14:textId="77777777" w:rsidTr="00FD0297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2F238A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2F238A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268" w:type="dxa"/>
            <w:shd w:val="clear" w:color="auto" w:fill="auto"/>
          </w:tcPr>
          <w:p w14:paraId="1DF417F0" w14:textId="77777777" w:rsidR="000354B5" w:rsidRPr="00E47B01" w:rsidRDefault="000354B5" w:rsidP="002F238A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2F238A">
            <w:pPr>
              <w:pStyle w:val="NoSpacing"/>
            </w:pPr>
            <w:r>
              <w:t>Students will be able to…</w:t>
            </w:r>
          </w:p>
        </w:tc>
        <w:tc>
          <w:tcPr>
            <w:tcW w:w="1418" w:type="dxa"/>
            <w:shd w:val="clear" w:color="auto" w:fill="auto"/>
          </w:tcPr>
          <w:p w14:paraId="1A4EDE4D" w14:textId="77777777" w:rsidR="000354B5" w:rsidRDefault="000354B5" w:rsidP="002F238A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2F238A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410" w:type="dxa"/>
            <w:shd w:val="clear" w:color="auto" w:fill="auto"/>
          </w:tcPr>
          <w:p w14:paraId="0F90272B" w14:textId="77777777" w:rsidR="000354B5" w:rsidRDefault="000354B5" w:rsidP="002F238A">
            <w:pPr>
              <w:pStyle w:val="NoSpacing"/>
            </w:pPr>
            <w:r>
              <w:t>Home Learning</w:t>
            </w:r>
          </w:p>
        </w:tc>
        <w:tc>
          <w:tcPr>
            <w:tcW w:w="1559" w:type="dxa"/>
            <w:shd w:val="clear" w:color="auto" w:fill="auto"/>
          </w:tcPr>
          <w:p w14:paraId="283B5977" w14:textId="77777777" w:rsidR="000354B5" w:rsidRDefault="000354B5" w:rsidP="002F238A">
            <w:pPr>
              <w:pStyle w:val="NoSpacing"/>
            </w:pPr>
            <w:r>
              <w:t>Assessment</w:t>
            </w:r>
          </w:p>
        </w:tc>
        <w:tc>
          <w:tcPr>
            <w:tcW w:w="2013" w:type="dxa"/>
            <w:shd w:val="clear" w:color="auto" w:fill="auto"/>
          </w:tcPr>
          <w:p w14:paraId="07E3F098" w14:textId="77777777" w:rsidR="000354B5" w:rsidRDefault="000354B5" w:rsidP="002F238A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2F238A">
            <w:pPr>
              <w:pStyle w:val="NoSpacing"/>
            </w:pPr>
            <w:r>
              <w:t>Extended Reading</w:t>
            </w:r>
          </w:p>
        </w:tc>
        <w:tc>
          <w:tcPr>
            <w:tcW w:w="2098" w:type="dxa"/>
            <w:shd w:val="clear" w:color="auto" w:fill="auto"/>
          </w:tcPr>
          <w:p w14:paraId="42C77D6F" w14:textId="77777777" w:rsidR="000354B5" w:rsidRDefault="000354B5" w:rsidP="002F238A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2F238A">
            <w:pPr>
              <w:pStyle w:val="NoSpacing"/>
            </w:pPr>
          </w:p>
        </w:tc>
      </w:tr>
      <w:tr w:rsidR="000354B5" w14:paraId="16F9AA10" w14:textId="77777777" w:rsidTr="00FD0297">
        <w:trPr>
          <w:trHeight w:val="3010"/>
        </w:trPr>
        <w:tc>
          <w:tcPr>
            <w:tcW w:w="2943" w:type="dxa"/>
            <w:shd w:val="clear" w:color="auto" w:fill="auto"/>
          </w:tcPr>
          <w:p w14:paraId="053A8D4C" w14:textId="1420E1A0" w:rsidR="00424EA3" w:rsidRDefault="00424EA3" w:rsidP="002F238A">
            <w:pPr>
              <w:pStyle w:val="NoSpacing"/>
            </w:pPr>
            <w:r>
              <w:t>Knowledge and understanding of Drama and Theatre</w:t>
            </w:r>
          </w:p>
          <w:p w14:paraId="4C7C83C7" w14:textId="0866DD80" w:rsidR="00424EA3" w:rsidRDefault="00424EA3" w:rsidP="00424EA3">
            <w:pPr>
              <w:pStyle w:val="NoSpacing"/>
              <w:numPr>
                <w:ilvl w:val="0"/>
                <w:numId w:val="1"/>
              </w:numPr>
            </w:pPr>
            <w:r>
              <w:t>Section A (multiple choice – 4 marks)</w:t>
            </w:r>
          </w:p>
          <w:p w14:paraId="0BE7E937" w14:textId="77777777" w:rsidR="00424EA3" w:rsidRDefault="00424EA3" w:rsidP="002F238A">
            <w:pPr>
              <w:pStyle w:val="NoSpacing"/>
            </w:pPr>
          </w:p>
          <w:p w14:paraId="5CE0FE68" w14:textId="7DD293F9" w:rsidR="00424EA3" w:rsidRDefault="00424EA3" w:rsidP="002F238A">
            <w:pPr>
              <w:pStyle w:val="NoSpacing"/>
            </w:pPr>
            <w:r>
              <w:t>Study of one set play</w:t>
            </w:r>
          </w:p>
          <w:p w14:paraId="1BEECEF5" w14:textId="487DED39" w:rsidR="00424EA3" w:rsidRDefault="00424EA3" w:rsidP="00424EA3">
            <w:pPr>
              <w:pStyle w:val="NoSpacing"/>
              <w:numPr>
                <w:ilvl w:val="0"/>
                <w:numId w:val="1"/>
              </w:numPr>
            </w:pPr>
            <w:r>
              <w:t>Section B (four questions on a given extract from the set play chosen – 44 marks)</w:t>
            </w:r>
          </w:p>
          <w:p w14:paraId="3B679529" w14:textId="77777777" w:rsidR="00424EA3" w:rsidRDefault="00424EA3" w:rsidP="002F238A">
            <w:pPr>
              <w:pStyle w:val="NoSpacing"/>
            </w:pPr>
          </w:p>
          <w:p w14:paraId="56A81DBC" w14:textId="77777777" w:rsidR="00424EA3" w:rsidRDefault="00424EA3" w:rsidP="002F238A">
            <w:pPr>
              <w:pStyle w:val="NoSpacing"/>
            </w:pPr>
            <w:r>
              <w:t>Analysis and evaluation of the work of live theatre makers</w:t>
            </w:r>
          </w:p>
          <w:p w14:paraId="5798D578" w14:textId="7A2CD04D" w:rsidR="00424EA3" w:rsidRDefault="00424EA3" w:rsidP="00424EA3">
            <w:pPr>
              <w:pStyle w:val="NoSpacing"/>
              <w:numPr>
                <w:ilvl w:val="0"/>
                <w:numId w:val="1"/>
              </w:numPr>
            </w:pPr>
            <w:r>
              <w:t>Section C (one question (from a choice) on the work of theatre makers in a single live theatre production – 32 marks)</w:t>
            </w:r>
          </w:p>
        </w:tc>
        <w:tc>
          <w:tcPr>
            <w:tcW w:w="2268" w:type="dxa"/>
            <w:shd w:val="clear" w:color="auto" w:fill="auto"/>
          </w:tcPr>
          <w:p w14:paraId="40B33467" w14:textId="77777777" w:rsidR="001B17DC" w:rsidRDefault="001B17DC" w:rsidP="001B17DC">
            <w:pPr>
              <w:pStyle w:val="NoSpacing"/>
            </w:pPr>
            <w:r>
              <w:t>Drama and Theatre terminology and how to use it appropriately</w:t>
            </w:r>
          </w:p>
          <w:p w14:paraId="2744C22A" w14:textId="32E52D10" w:rsidR="001B17DC" w:rsidRDefault="001B17DC" w:rsidP="001B17DC">
            <w:pPr>
              <w:pStyle w:val="NoSpacing"/>
              <w:numPr>
                <w:ilvl w:val="0"/>
                <w:numId w:val="1"/>
              </w:numPr>
            </w:pPr>
            <w:r>
              <w:t>Stage positioning</w:t>
            </w:r>
          </w:p>
          <w:p w14:paraId="1CFE8C11" w14:textId="53F627AC" w:rsidR="001B17DC" w:rsidRDefault="001B17DC" w:rsidP="001B17DC">
            <w:pPr>
              <w:pStyle w:val="NoSpacing"/>
              <w:numPr>
                <w:ilvl w:val="0"/>
                <w:numId w:val="1"/>
              </w:numPr>
            </w:pPr>
            <w:r>
              <w:t>Staging types</w:t>
            </w:r>
          </w:p>
          <w:p w14:paraId="1D3DE4D4" w14:textId="77777777" w:rsidR="001B17DC" w:rsidRDefault="001B17DC" w:rsidP="002F238A">
            <w:pPr>
              <w:pStyle w:val="NoSpacing"/>
            </w:pPr>
          </w:p>
          <w:p w14:paraId="562386A1" w14:textId="6A8052EF" w:rsidR="0018659B" w:rsidRDefault="001B17DC" w:rsidP="002F238A">
            <w:pPr>
              <w:pStyle w:val="NoSpacing"/>
            </w:pPr>
            <w:r>
              <w:t>C</w:t>
            </w:r>
            <w:r w:rsidR="00424EA3">
              <w:t>haracteristics of performance text(s) and dramatic work(s)</w:t>
            </w:r>
          </w:p>
          <w:p w14:paraId="1418CF6E" w14:textId="16DA58C6" w:rsidR="00424EA3" w:rsidRDefault="00424EA3" w:rsidP="00424EA3">
            <w:pPr>
              <w:pStyle w:val="NoSpacing"/>
              <w:ind w:left="360"/>
            </w:pPr>
          </w:p>
          <w:p w14:paraId="518C650B" w14:textId="01B1D19E" w:rsidR="00424EA3" w:rsidRDefault="00424EA3" w:rsidP="00424EA3">
            <w:pPr>
              <w:pStyle w:val="NoSpacing"/>
            </w:pPr>
            <w:r>
              <w:t>Social, Cultural &amp; historical contexts</w:t>
            </w:r>
          </w:p>
          <w:p w14:paraId="1DC35020" w14:textId="68E5982B" w:rsidR="00424EA3" w:rsidRDefault="00424EA3" w:rsidP="00424EA3">
            <w:pPr>
              <w:pStyle w:val="NoSpacing"/>
            </w:pPr>
          </w:p>
          <w:p w14:paraId="4B0B9179" w14:textId="42D6002A" w:rsidR="00424EA3" w:rsidRDefault="001B17DC" w:rsidP="00424EA3">
            <w:pPr>
              <w:pStyle w:val="NoSpacing"/>
            </w:pPr>
            <w:r>
              <w:t>How meaning is interpreted and communicated</w:t>
            </w:r>
          </w:p>
          <w:p w14:paraId="26D118CF" w14:textId="77777777" w:rsidR="001B17DC" w:rsidRDefault="001B17DC" w:rsidP="00424EA3">
            <w:pPr>
              <w:pStyle w:val="NoSpacing"/>
            </w:pPr>
          </w:p>
          <w:p w14:paraId="198C5C2A" w14:textId="3A81AFC9" w:rsidR="0018659B" w:rsidRDefault="001B17DC" w:rsidP="002F238A">
            <w:pPr>
              <w:pStyle w:val="NoSpacing"/>
            </w:pPr>
            <w:r>
              <w:t>The roles &amp; responsibility of theatre makers in contemporary professional practice</w:t>
            </w:r>
          </w:p>
        </w:tc>
        <w:tc>
          <w:tcPr>
            <w:tcW w:w="1418" w:type="dxa"/>
            <w:shd w:val="clear" w:color="auto" w:fill="auto"/>
          </w:tcPr>
          <w:p w14:paraId="079BD04E" w14:textId="2E3A123C" w:rsidR="0071761E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Genre</w:t>
            </w:r>
          </w:p>
          <w:p w14:paraId="04DA4BC3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66A23554" w14:textId="459921A6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Structure</w:t>
            </w:r>
          </w:p>
          <w:p w14:paraId="1EACC4C8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486B3800" w14:textId="65060093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Sub-text</w:t>
            </w:r>
          </w:p>
          <w:p w14:paraId="3250F207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7076C48D" w14:textId="729A3F3A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Motivation</w:t>
            </w:r>
          </w:p>
          <w:p w14:paraId="227896F9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5E7A305B" w14:textId="6661BC39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Interaction</w:t>
            </w:r>
          </w:p>
          <w:p w14:paraId="4E7ED410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62FEC2D5" w14:textId="07448E86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Climax</w:t>
            </w:r>
          </w:p>
          <w:p w14:paraId="6C1C69C4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08C2FA84" w14:textId="19128229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Social</w:t>
            </w:r>
          </w:p>
          <w:p w14:paraId="76181F68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32165832" w14:textId="1679C1AF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Cultural</w:t>
            </w:r>
          </w:p>
          <w:p w14:paraId="58081570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57378A34" w14:textId="492B52BD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Historical</w:t>
            </w:r>
          </w:p>
          <w:p w14:paraId="1E11E977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582AF922" w14:textId="303634AD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Context</w:t>
            </w:r>
          </w:p>
          <w:p w14:paraId="2A8F9E66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7E4821DA" w14:textId="62BC88D1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Convention</w:t>
            </w:r>
          </w:p>
          <w:p w14:paraId="75D9AAFD" w14:textId="77777777" w:rsidR="001B17DC" w:rsidRPr="001B17DC" w:rsidRDefault="001B17DC" w:rsidP="002F238A">
            <w:pPr>
              <w:pStyle w:val="NoSpacing"/>
              <w:rPr>
                <w:sz w:val="20"/>
              </w:rPr>
            </w:pPr>
          </w:p>
          <w:p w14:paraId="7B40BABB" w14:textId="60FE2435" w:rsidR="001B17DC" w:rsidRPr="001B17DC" w:rsidRDefault="001B17DC" w:rsidP="002F238A">
            <w:pPr>
              <w:pStyle w:val="NoSpacing"/>
              <w:rPr>
                <w:sz w:val="20"/>
              </w:rPr>
            </w:pPr>
            <w:r w:rsidRPr="001B17DC">
              <w:rPr>
                <w:sz w:val="20"/>
              </w:rPr>
              <w:t>Interpretation</w:t>
            </w:r>
          </w:p>
          <w:p w14:paraId="662313C2" w14:textId="77777777" w:rsidR="000354B5" w:rsidRDefault="000354B5" w:rsidP="002F238A">
            <w:pPr>
              <w:pStyle w:val="NoSpacing"/>
            </w:pPr>
          </w:p>
          <w:p w14:paraId="6AB9EE5D" w14:textId="77777777" w:rsidR="000354B5" w:rsidRDefault="000354B5" w:rsidP="002F238A">
            <w:pPr>
              <w:pStyle w:val="NoSpacing"/>
            </w:pPr>
          </w:p>
        </w:tc>
        <w:tc>
          <w:tcPr>
            <w:tcW w:w="2410" w:type="dxa"/>
            <w:shd w:val="clear" w:color="auto" w:fill="auto"/>
          </w:tcPr>
          <w:p w14:paraId="4382C3C5" w14:textId="6C4DFB5A" w:rsidR="001B17DC" w:rsidRDefault="001B17DC" w:rsidP="002F238A">
            <w:pPr>
              <w:pStyle w:val="NoSpacing"/>
            </w:pPr>
            <w:r>
              <w:t>Reading extracts of plays.</w:t>
            </w:r>
          </w:p>
          <w:p w14:paraId="70B26E60" w14:textId="08413D82" w:rsidR="001B17DC" w:rsidRDefault="001B17DC" w:rsidP="002F238A">
            <w:pPr>
              <w:pStyle w:val="NoSpacing"/>
            </w:pPr>
          </w:p>
          <w:p w14:paraId="49E1559B" w14:textId="2DF72EDA" w:rsidR="001B17DC" w:rsidRDefault="001B17DC" w:rsidP="002F238A">
            <w:pPr>
              <w:pStyle w:val="NoSpacing"/>
            </w:pPr>
            <w:r>
              <w:t>Researching playwrights, and the social, cultural &amp; historical context of their time.</w:t>
            </w:r>
          </w:p>
          <w:p w14:paraId="7ECD351D" w14:textId="217B8429" w:rsidR="001B17DC" w:rsidRDefault="001B17DC" w:rsidP="002F238A">
            <w:pPr>
              <w:pStyle w:val="NoSpacing"/>
            </w:pPr>
          </w:p>
          <w:p w14:paraId="0984DEC7" w14:textId="0B216424" w:rsidR="000354B5" w:rsidRDefault="009130BB" w:rsidP="002F238A">
            <w:pPr>
              <w:pStyle w:val="NoSpacing"/>
            </w:pPr>
            <w:r>
              <w:t>Practice exam questions – completion of and/or marking of answers.</w:t>
            </w:r>
          </w:p>
          <w:p w14:paraId="1B0B7519" w14:textId="21980684" w:rsidR="009130BB" w:rsidRDefault="009130BB" w:rsidP="002F238A">
            <w:pPr>
              <w:pStyle w:val="NoSpacing"/>
            </w:pPr>
          </w:p>
          <w:p w14:paraId="603EC5E6" w14:textId="4549722B" w:rsidR="009130BB" w:rsidRDefault="009130BB" w:rsidP="002F238A">
            <w:pPr>
              <w:pStyle w:val="NoSpacing"/>
            </w:pPr>
            <w:r>
              <w:t>Creation of revision materials.</w:t>
            </w:r>
          </w:p>
          <w:p w14:paraId="3A33AAD8" w14:textId="77777777" w:rsidR="004C7A14" w:rsidRDefault="004C7A14" w:rsidP="002F238A">
            <w:pPr>
              <w:pStyle w:val="NoSpacing"/>
            </w:pPr>
          </w:p>
          <w:p w14:paraId="6B2DF270" w14:textId="759E626B" w:rsidR="004C7A14" w:rsidRDefault="004C7A14" w:rsidP="002F238A">
            <w:pPr>
              <w:pStyle w:val="NoSpacing"/>
            </w:pPr>
            <w:r>
              <w:t>Section A Knowledge Retrieval Booklet</w:t>
            </w:r>
            <w:r w:rsidR="00FD0297">
              <w:t>.</w:t>
            </w:r>
          </w:p>
          <w:p w14:paraId="58329A61" w14:textId="285970A7" w:rsidR="00FD0297" w:rsidRDefault="00FD0297" w:rsidP="002F238A">
            <w:pPr>
              <w:pStyle w:val="NoSpacing"/>
            </w:pPr>
          </w:p>
          <w:p w14:paraId="5AEC5557" w14:textId="77777777" w:rsidR="00FD0297" w:rsidRPr="00FD0297" w:rsidRDefault="00FD0297" w:rsidP="00FD0297">
            <w:pPr>
              <w:pStyle w:val="NoSpacing"/>
            </w:pPr>
            <w:r w:rsidRPr="00FD0297">
              <w:t>Completion of Unit Overview &amp; Self Evaluation.</w:t>
            </w:r>
          </w:p>
          <w:p w14:paraId="3792CF9C" w14:textId="77777777" w:rsidR="00FD0297" w:rsidRPr="00FD0297" w:rsidRDefault="00FD0297" w:rsidP="00FD0297">
            <w:pPr>
              <w:pStyle w:val="NoSpacing"/>
            </w:pPr>
          </w:p>
          <w:p w14:paraId="49634000" w14:textId="771814AC" w:rsidR="000354B5" w:rsidRDefault="00FD0297" w:rsidP="002F238A">
            <w:pPr>
              <w:pStyle w:val="NoSpacing"/>
            </w:pPr>
            <w:r w:rsidRPr="00FD0297">
              <w:t>Use of Google Classroom</w:t>
            </w:r>
            <w:r>
              <w:t>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28A6AE1C" w14:textId="33FAE6CC" w:rsidR="0018659B" w:rsidRDefault="009130BB" w:rsidP="002F238A">
            <w:pPr>
              <w:pStyle w:val="NoSpacing"/>
            </w:pPr>
            <w:r>
              <w:t>Practice Questions.</w:t>
            </w:r>
          </w:p>
          <w:p w14:paraId="401C8423" w14:textId="77777777" w:rsidR="0018659B" w:rsidRDefault="0018659B" w:rsidP="002F238A">
            <w:pPr>
              <w:pStyle w:val="NoSpacing"/>
            </w:pPr>
          </w:p>
          <w:p w14:paraId="21060DD4" w14:textId="3A44885D" w:rsidR="0018659B" w:rsidRDefault="0018659B" w:rsidP="002F238A">
            <w:pPr>
              <w:pStyle w:val="NoSpacing"/>
            </w:pPr>
            <w:r>
              <w:t xml:space="preserve">Regular monitoring of </w:t>
            </w:r>
            <w:r w:rsidR="009130BB">
              <w:t>exam</w:t>
            </w:r>
            <w:r>
              <w:t xml:space="preserve"> skills</w:t>
            </w:r>
            <w:r w:rsidR="009130BB">
              <w:t>.</w:t>
            </w:r>
          </w:p>
          <w:p w14:paraId="0B1508A5" w14:textId="77777777" w:rsidR="0023022F" w:rsidRDefault="0023022F" w:rsidP="002F238A">
            <w:pPr>
              <w:pStyle w:val="NoSpacing"/>
            </w:pPr>
          </w:p>
          <w:p w14:paraId="40F9544B" w14:textId="04B47986" w:rsidR="0023022F" w:rsidRDefault="0023022F" w:rsidP="002F238A">
            <w:pPr>
              <w:pStyle w:val="NoSpacing"/>
            </w:pPr>
            <w:r>
              <w:t>Teacher, Self &amp; Peer feedback received every lesson.</w:t>
            </w:r>
          </w:p>
          <w:p w14:paraId="31784682" w14:textId="77777777" w:rsidR="0018659B" w:rsidRDefault="0018659B" w:rsidP="002F238A">
            <w:pPr>
              <w:pStyle w:val="NoSpacing"/>
            </w:pPr>
          </w:p>
          <w:p w14:paraId="64E0C247" w14:textId="533B998A" w:rsidR="000354B5" w:rsidRDefault="009130BB" w:rsidP="002F238A">
            <w:pPr>
              <w:pStyle w:val="NoSpacing"/>
            </w:pPr>
            <w:r>
              <w:t>PPEs</w:t>
            </w:r>
          </w:p>
        </w:tc>
        <w:tc>
          <w:tcPr>
            <w:tcW w:w="2013" w:type="dxa"/>
            <w:shd w:val="clear" w:color="auto" w:fill="auto"/>
          </w:tcPr>
          <w:p w14:paraId="1CB78560" w14:textId="64AD4DBF" w:rsidR="0018659B" w:rsidRDefault="0023022F" w:rsidP="002F238A">
            <w:pPr>
              <w:pStyle w:val="NoSpacing"/>
            </w:pPr>
            <w:r>
              <w:t>Reading of the whole play (of chosen extracts)</w:t>
            </w:r>
          </w:p>
          <w:p w14:paraId="678C96CA" w14:textId="77777777" w:rsidR="0023022F" w:rsidRDefault="0023022F" w:rsidP="002F238A">
            <w:pPr>
              <w:pStyle w:val="NoSpacing"/>
            </w:pPr>
          </w:p>
          <w:p w14:paraId="64EEE90E" w14:textId="77777777" w:rsidR="0023022F" w:rsidRDefault="0023022F" w:rsidP="002F238A">
            <w:pPr>
              <w:pStyle w:val="NoSpacing"/>
            </w:pPr>
            <w:r>
              <w:t xml:space="preserve">Watch full productions of plays if possible (ask Miss Robinson for copies &amp; search on </w:t>
            </w:r>
            <w:proofErr w:type="spellStart"/>
            <w:r>
              <w:t>youtube</w:t>
            </w:r>
            <w:proofErr w:type="spellEnd"/>
            <w:r>
              <w:t xml:space="preserve"> for other examples)</w:t>
            </w:r>
          </w:p>
          <w:p w14:paraId="3C6FA9AF" w14:textId="77777777" w:rsidR="0023022F" w:rsidRDefault="0023022F" w:rsidP="002F238A">
            <w:pPr>
              <w:pStyle w:val="NoSpacing"/>
            </w:pPr>
          </w:p>
          <w:p w14:paraId="3E9FD70B" w14:textId="704FD7F4" w:rsidR="0023022F" w:rsidRDefault="0023022F" w:rsidP="002F238A">
            <w:pPr>
              <w:pStyle w:val="NoSpacing"/>
            </w:pPr>
            <w:r w:rsidRPr="0023022F">
              <w:rPr>
                <w:i/>
              </w:rPr>
              <w:t xml:space="preserve">AQA Drama Handbook </w:t>
            </w:r>
            <w:r>
              <w:t xml:space="preserve">– Component </w:t>
            </w:r>
            <w:r w:rsidR="009130BB">
              <w:t>1</w:t>
            </w:r>
            <w:r>
              <w:t xml:space="preserve"> section</w:t>
            </w:r>
          </w:p>
          <w:p w14:paraId="27FCDDA0" w14:textId="77777777" w:rsidR="0023022F" w:rsidRDefault="0023022F" w:rsidP="002F238A">
            <w:pPr>
              <w:pStyle w:val="NoSpacing"/>
            </w:pPr>
          </w:p>
          <w:p w14:paraId="36A676F6" w14:textId="029E79BA" w:rsidR="000354B5" w:rsidRDefault="009130BB" w:rsidP="002F238A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GCSE Drama – The Revision Guide </w:t>
            </w:r>
          </w:p>
          <w:p w14:paraId="14B083B4" w14:textId="52B94D89" w:rsidR="009130BB" w:rsidRDefault="009130BB" w:rsidP="002F238A">
            <w:pPr>
              <w:pStyle w:val="NoSpacing"/>
              <w:rPr>
                <w:i/>
              </w:rPr>
            </w:pPr>
          </w:p>
          <w:p w14:paraId="2B2E85FF" w14:textId="5E0DF42E" w:rsidR="000354B5" w:rsidRDefault="009130BB" w:rsidP="002F238A">
            <w:pPr>
              <w:pStyle w:val="NoSpacing"/>
            </w:pPr>
            <w:r>
              <w:rPr>
                <w:i/>
              </w:rPr>
              <w:t xml:space="preserve">Blood Brothers – The Play Guide </w:t>
            </w:r>
            <w:r w:rsidRPr="009130BB">
              <w:t>(may change year on year depending on set text chosen)</w:t>
            </w:r>
          </w:p>
        </w:tc>
        <w:tc>
          <w:tcPr>
            <w:tcW w:w="2098" w:type="dxa"/>
            <w:shd w:val="clear" w:color="auto" w:fill="auto"/>
          </w:tcPr>
          <w:p w14:paraId="184DB246" w14:textId="3895855D" w:rsidR="0018659B" w:rsidRDefault="0023022F" w:rsidP="002F238A">
            <w:pPr>
              <w:pStyle w:val="NoSpacing"/>
            </w:pPr>
            <w:r>
              <w:t>Expanding knowledge of plays.</w:t>
            </w:r>
          </w:p>
          <w:p w14:paraId="23466688" w14:textId="77777777" w:rsidR="0023022F" w:rsidRDefault="0023022F" w:rsidP="002F238A">
            <w:pPr>
              <w:pStyle w:val="NoSpacing"/>
            </w:pPr>
          </w:p>
          <w:p w14:paraId="39562DF6" w14:textId="7DEA877A" w:rsidR="0023022F" w:rsidRDefault="009130BB" w:rsidP="002F238A">
            <w:pPr>
              <w:pStyle w:val="NoSpacing"/>
            </w:pPr>
            <w:r>
              <w:t>Watch professional live theatre.</w:t>
            </w:r>
          </w:p>
          <w:p w14:paraId="120E6B80" w14:textId="77777777" w:rsidR="0023022F" w:rsidRDefault="0023022F" w:rsidP="002F238A">
            <w:pPr>
              <w:pStyle w:val="NoSpacing"/>
            </w:pPr>
          </w:p>
          <w:p w14:paraId="6BD2F479" w14:textId="1E84415C" w:rsidR="0023022F" w:rsidRDefault="009130BB" w:rsidP="002F238A">
            <w:pPr>
              <w:pStyle w:val="NoSpacing"/>
            </w:pPr>
            <w:r>
              <w:t>Expanding knowledge of different social, cultural and historical context to your own.</w:t>
            </w:r>
          </w:p>
        </w:tc>
      </w:tr>
    </w:tbl>
    <w:p w14:paraId="7C151D00" w14:textId="3A2E01F8" w:rsidR="002F238A" w:rsidRDefault="002F238A"/>
    <w:sectPr w:rsidR="002F238A" w:rsidSect="00C236F2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66EE2"/>
    <w:multiLevelType w:val="hybridMultilevel"/>
    <w:tmpl w:val="5576043C"/>
    <w:lvl w:ilvl="0" w:tplc="E42AB7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354B5"/>
    <w:rsid w:val="000C58E2"/>
    <w:rsid w:val="00170595"/>
    <w:rsid w:val="0018659B"/>
    <w:rsid w:val="001B17DC"/>
    <w:rsid w:val="001F7564"/>
    <w:rsid w:val="0023022F"/>
    <w:rsid w:val="002F238A"/>
    <w:rsid w:val="00424EA3"/>
    <w:rsid w:val="004C7A14"/>
    <w:rsid w:val="00602F12"/>
    <w:rsid w:val="006D3989"/>
    <w:rsid w:val="0071761E"/>
    <w:rsid w:val="00760F99"/>
    <w:rsid w:val="007D7D7E"/>
    <w:rsid w:val="007F1EC2"/>
    <w:rsid w:val="0084224C"/>
    <w:rsid w:val="008A6EEF"/>
    <w:rsid w:val="00912B88"/>
    <w:rsid w:val="009130BB"/>
    <w:rsid w:val="009C39D0"/>
    <w:rsid w:val="009C6686"/>
    <w:rsid w:val="00A46347"/>
    <w:rsid w:val="00AF5436"/>
    <w:rsid w:val="00C236F2"/>
    <w:rsid w:val="00C57563"/>
    <w:rsid w:val="00C82270"/>
    <w:rsid w:val="00CA673B"/>
    <w:rsid w:val="00D05FEB"/>
    <w:rsid w:val="00E00BF0"/>
    <w:rsid w:val="00EF3822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356667CB-65AB-4593-9E68-6A8683C6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5BC691C7</Template>
  <TotalTime>45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N Robinson</cp:lastModifiedBy>
  <cp:revision>5</cp:revision>
  <cp:lastPrinted>2020-06-10T12:12:00Z</cp:lastPrinted>
  <dcterms:created xsi:type="dcterms:W3CDTF">2020-06-16T10:10:00Z</dcterms:created>
  <dcterms:modified xsi:type="dcterms:W3CDTF">2020-07-16T13:06:00Z</dcterms:modified>
</cp:coreProperties>
</file>