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127"/>
        <w:gridCol w:w="1559"/>
        <w:gridCol w:w="1843"/>
        <w:gridCol w:w="2268"/>
      </w:tblGrid>
      <w:tr w:rsidR="000354B5" w14:paraId="7B5ECE88" w14:textId="77777777" w:rsidTr="002F238A">
        <w:tc>
          <w:tcPr>
            <w:tcW w:w="2943" w:type="dxa"/>
            <w:shd w:val="clear" w:color="auto" w:fill="auto"/>
          </w:tcPr>
          <w:p w14:paraId="7BDA3CB2" w14:textId="13036650" w:rsidR="000354B5" w:rsidRPr="00FF68F5" w:rsidRDefault="002F238A" w:rsidP="00760F99">
            <w:pPr>
              <w:pStyle w:val="NoSpacing"/>
            </w:pPr>
            <w:r>
              <w:t>Year 11</w:t>
            </w:r>
            <w:r w:rsidR="000354B5">
              <w:t xml:space="preserve"> </w:t>
            </w:r>
            <w:r>
              <w:t xml:space="preserve">Term </w:t>
            </w:r>
            <w:r w:rsidR="00B97D1E">
              <w:t>1&amp;2</w:t>
            </w:r>
            <w:r w:rsidR="000354B5">
              <w:t xml:space="preserve"> -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2F238A">
            <w:pPr>
              <w:pStyle w:val="NoSpacing"/>
            </w:pPr>
          </w:p>
        </w:tc>
      </w:tr>
      <w:tr w:rsidR="000354B5" w:rsidRPr="005A7068" w14:paraId="76198578" w14:textId="77777777" w:rsidTr="002F238A">
        <w:tc>
          <w:tcPr>
            <w:tcW w:w="14709" w:type="dxa"/>
            <w:gridSpan w:val="7"/>
            <w:shd w:val="clear" w:color="auto" w:fill="auto"/>
          </w:tcPr>
          <w:p w14:paraId="7F2629AB" w14:textId="0A5E3CB1" w:rsidR="000354B5" w:rsidRPr="005A7068" w:rsidRDefault="000354B5" w:rsidP="00C236F2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C236F2">
              <w:rPr>
                <w:b/>
                <w:sz w:val="44"/>
              </w:rPr>
              <w:t>What does it take to ‘move’ an audience?</w:t>
            </w:r>
          </w:p>
        </w:tc>
      </w:tr>
      <w:tr w:rsidR="000354B5" w:rsidRPr="006472AF" w14:paraId="51209863" w14:textId="77777777" w:rsidTr="002F238A">
        <w:tc>
          <w:tcPr>
            <w:tcW w:w="14709" w:type="dxa"/>
            <w:gridSpan w:val="7"/>
            <w:shd w:val="clear" w:color="auto" w:fill="auto"/>
          </w:tcPr>
          <w:p w14:paraId="4C2252A4" w14:textId="67BF4C74" w:rsidR="000354B5" w:rsidRDefault="000354B5" w:rsidP="002F238A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2F238A">
              <w:rPr>
                <w:b/>
                <w:sz w:val="32"/>
                <w:szCs w:val="32"/>
              </w:rPr>
              <w:t>Component 3 – Texts in Practice</w:t>
            </w:r>
          </w:p>
          <w:p w14:paraId="5BC935C4" w14:textId="7CA05247" w:rsidR="000354B5" w:rsidRPr="006472AF" w:rsidRDefault="000354B5" w:rsidP="00C236F2">
            <w:pPr>
              <w:pStyle w:val="NoSpacing"/>
            </w:pPr>
            <w:r w:rsidRPr="00542382">
              <w:rPr>
                <w:b/>
              </w:rPr>
              <w:t>Why now?</w:t>
            </w:r>
            <w:r>
              <w:t xml:space="preserve">  </w:t>
            </w:r>
            <w:r w:rsidR="00C236F2">
              <w:t>The Component 3 performance</w:t>
            </w:r>
            <w:r w:rsidR="0023022F">
              <w:t xml:space="preserve"> is an end point for students at Langdon Park</w:t>
            </w:r>
            <w:r w:rsidR="00C236F2">
              <w:t>,</w:t>
            </w:r>
            <w:r w:rsidR="0023022F">
              <w:t xml:space="preserve"> </w:t>
            </w:r>
            <w:r w:rsidR="00C236F2">
              <w:t>which</w:t>
            </w:r>
            <w:r w:rsidR="0023022F">
              <w:t xml:space="preserve"> they have been working on since year 7. Students at this stage in their Drama journey are confident performers and knowledgeable enough</w:t>
            </w:r>
            <w:r w:rsidR="00C236F2">
              <w:t xml:space="preserve"> within the realms of scripted D</w:t>
            </w:r>
            <w:r w:rsidR="0023022F">
              <w:t>rama, characterisatio</w:t>
            </w:r>
            <w:r w:rsidR="00C236F2">
              <w:t xml:space="preserve">n and professional performance </w:t>
            </w:r>
            <w:r w:rsidR="0023022F">
              <w:t>that they can make informed choices independently.</w:t>
            </w:r>
            <w:r w:rsidR="00C236F2">
              <w:t xml:space="preserve">  In this unit, students demonstrate their passion for Theatre, and ‘Hard Skills’ are heightened through students having to work consistently with clear communication, critical thinking, time-management and determination. The unit ends in a performance to an external examiner, and leads into dedicated preparation for Component 1 – Understanding Drama (where students will consolidate knowledge of theatre roles &amp; responsibility, set text study and evaluation of live Theatre).</w:t>
            </w:r>
          </w:p>
        </w:tc>
      </w:tr>
      <w:tr w:rsidR="000354B5" w14:paraId="4F042374" w14:textId="77777777" w:rsidTr="002F238A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2F238A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2F238A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2F238A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2F238A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7" w:type="dxa"/>
            <w:shd w:val="clear" w:color="auto" w:fill="auto"/>
          </w:tcPr>
          <w:p w14:paraId="0F90272B" w14:textId="77777777" w:rsidR="000354B5" w:rsidRDefault="000354B5" w:rsidP="002F238A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2F238A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2F238A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2F238A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2F238A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2F238A">
            <w:pPr>
              <w:pStyle w:val="NoSpacing"/>
            </w:pPr>
          </w:p>
        </w:tc>
      </w:tr>
      <w:tr w:rsidR="000354B5" w14:paraId="16F9AA10" w14:textId="77777777" w:rsidTr="002F238A">
        <w:trPr>
          <w:trHeight w:val="3010"/>
        </w:trPr>
        <w:tc>
          <w:tcPr>
            <w:tcW w:w="2943" w:type="dxa"/>
            <w:shd w:val="clear" w:color="auto" w:fill="auto"/>
          </w:tcPr>
          <w:p w14:paraId="01C8C0E2" w14:textId="08BDA280" w:rsidR="00760F99" w:rsidRDefault="00760F99" w:rsidP="002F238A">
            <w:pPr>
              <w:pStyle w:val="NoSpacing"/>
            </w:pPr>
          </w:p>
          <w:p w14:paraId="2FA6F6D7" w14:textId="77777777" w:rsidR="00760F99" w:rsidRDefault="002F238A" w:rsidP="002F238A">
            <w:pPr>
              <w:pStyle w:val="NoSpacing"/>
            </w:pPr>
            <w:r>
              <w:t>Interpreting texts:</w:t>
            </w:r>
          </w:p>
          <w:p w14:paraId="47C978FB" w14:textId="77777777" w:rsidR="002F238A" w:rsidRDefault="002F238A" w:rsidP="002F238A">
            <w:pPr>
              <w:pStyle w:val="NoSpacing"/>
            </w:pPr>
            <w:r>
              <w:t>The Death of Cool</w:t>
            </w:r>
          </w:p>
          <w:p w14:paraId="1F6C2CFB" w14:textId="77777777" w:rsidR="002F238A" w:rsidRDefault="002F238A" w:rsidP="002F238A">
            <w:pPr>
              <w:pStyle w:val="NoSpacing"/>
            </w:pPr>
            <w:r>
              <w:t>4:48 Psychosis</w:t>
            </w:r>
          </w:p>
          <w:p w14:paraId="51B7958E" w14:textId="77777777" w:rsidR="002F238A" w:rsidRDefault="002F238A" w:rsidP="002F238A">
            <w:pPr>
              <w:pStyle w:val="NoSpacing"/>
            </w:pPr>
            <w:r>
              <w:t>Find Me</w:t>
            </w:r>
          </w:p>
          <w:p w14:paraId="6703A4F2" w14:textId="77777777" w:rsidR="002F238A" w:rsidRDefault="002F238A" w:rsidP="002F238A">
            <w:pPr>
              <w:pStyle w:val="NoSpacing"/>
            </w:pPr>
            <w:r>
              <w:t>The Container</w:t>
            </w:r>
          </w:p>
          <w:p w14:paraId="36E84C23" w14:textId="6E0FBC6C" w:rsidR="002F238A" w:rsidRDefault="002F238A" w:rsidP="002F238A">
            <w:pPr>
              <w:pStyle w:val="NoSpacing"/>
            </w:pPr>
            <w:r>
              <w:t>Girls Like That</w:t>
            </w:r>
          </w:p>
          <w:p w14:paraId="5F2AF25B" w14:textId="77777777" w:rsidR="002F238A" w:rsidRDefault="002F238A" w:rsidP="002F238A">
            <w:pPr>
              <w:pStyle w:val="NoSpacing"/>
            </w:pPr>
          </w:p>
          <w:p w14:paraId="0DA08133" w14:textId="6CBC76B7" w:rsidR="002F238A" w:rsidRDefault="002F238A" w:rsidP="002F238A">
            <w:pPr>
              <w:pStyle w:val="NoSpacing"/>
            </w:pPr>
            <w:r>
              <w:t>Creating and communicating meaning through characterisation &amp; performance</w:t>
            </w:r>
          </w:p>
          <w:p w14:paraId="3FF62510" w14:textId="77777777" w:rsidR="002F238A" w:rsidRDefault="002F238A" w:rsidP="002F238A">
            <w:pPr>
              <w:pStyle w:val="NoSpacing"/>
            </w:pPr>
          </w:p>
          <w:p w14:paraId="60F8BBF7" w14:textId="77777777" w:rsidR="002F238A" w:rsidRDefault="002F238A" w:rsidP="002F238A">
            <w:pPr>
              <w:pStyle w:val="NoSpacing"/>
            </w:pPr>
            <w:r>
              <w:t xml:space="preserve">Vocal Skills </w:t>
            </w:r>
          </w:p>
          <w:p w14:paraId="414FD4D0" w14:textId="77777777" w:rsidR="002F238A" w:rsidRDefault="002F238A" w:rsidP="002F238A">
            <w:pPr>
              <w:pStyle w:val="NoSpacing"/>
            </w:pPr>
            <w:r>
              <w:t>Physical Skills</w:t>
            </w:r>
          </w:p>
          <w:p w14:paraId="64B3757A" w14:textId="77777777" w:rsidR="002F238A" w:rsidRDefault="002F238A" w:rsidP="002F238A">
            <w:pPr>
              <w:pStyle w:val="NoSpacing"/>
            </w:pPr>
            <w:r>
              <w:t>Space &amp; Levels</w:t>
            </w:r>
          </w:p>
          <w:p w14:paraId="72259A7B" w14:textId="6599337E" w:rsidR="002F238A" w:rsidRDefault="002F238A" w:rsidP="002F238A">
            <w:pPr>
              <w:pStyle w:val="NoSpacing"/>
            </w:pPr>
            <w:r>
              <w:t>Interaction</w:t>
            </w:r>
          </w:p>
          <w:p w14:paraId="6AE25515" w14:textId="77777777" w:rsidR="002F238A" w:rsidRDefault="002F238A" w:rsidP="002F238A">
            <w:pPr>
              <w:pStyle w:val="NoSpacing"/>
            </w:pPr>
          </w:p>
          <w:p w14:paraId="5798D578" w14:textId="643E5ED8" w:rsidR="002F238A" w:rsidRDefault="002F238A" w:rsidP="002F238A">
            <w:pPr>
              <w:pStyle w:val="NoSpacing"/>
            </w:pPr>
            <w:r>
              <w:t>Realise artistic intention in text-based Drama</w:t>
            </w:r>
          </w:p>
        </w:tc>
        <w:tc>
          <w:tcPr>
            <w:tcW w:w="2552" w:type="dxa"/>
            <w:shd w:val="clear" w:color="auto" w:fill="auto"/>
          </w:tcPr>
          <w:p w14:paraId="1697F5CA" w14:textId="1A825A02" w:rsidR="000354B5" w:rsidRDefault="002F238A" w:rsidP="002F238A">
            <w:pPr>
              <w:pStyle w:val="NoSpacing"/>
            </w:pPr>
            <w:r>
              <w:rPr>
                <w:b/>
              </w:rPr>
              <w:t>Create</w:t>
            </w:r>
            <w:r>
              <w:t>:</w:t>
            </w:r>
          </w:p>
          <w:p w14:paraId="15C3C443" w14:textId="63D647E2" w:rsidR="002F238A" w:rsidRDefault="0023022F" w:rsidP="002F238A">
            <w:pPr>
              <w:pStyle w:val="NoSpacing"/>
            </w:pPr>
            <w:r>
              <w:t>-</w:t>
            </w:r>
            <w:r w:rsidR="002F238A">
              <w:t>Learn lines</w:t>
            </w:r>
          </w:p>
          <w:p w14:paraId="1FB67715" w14:textId="2E908EC8" w:rsidR="002F238A" w:rsidRDefault="0023022F" w:rsidP="002F238A">
            <w:pPr>
              <w:pStyle w:val="NoSpacing"/>
            </w:pPr>
            <w:r>
              <w:t>-</w:t>
            </w:r>
            <w:r w:rsidR="002F238A">
              <w:t>A character appropriate for the text – PS &amp; VS skills</w:t>
            </w:r>
          </w:p>
          <w:p w14:paraId="137C7694" w14:textId="77777777" w:rsidR="00760F99" w:rsidRDefault="00760F99" w:rsidP="002F238A">
            <w:pPr>
              <w:pStyle w:val="NoSpacing"/>
            </w:pPr>
          </w:p>
          <w:p w14:paraId="5127A56F" w14:textId="48F00535" w:rsidR="0018659B" w:rsidRDefault="00760F99" w:rsidP="002F238A">
            <w:pPr>
              <w:pStyle w:val="NoSpacing"/>
            </w:pPr>
            <w:r w:rsidRPr="0018659B">
              <w:rPr>
                <w:b/>
              </w:rPr>
              <w:t>Perform</w:t>
            </w:r>
            <w:r w:rsidR="002F238A">
              <w:t>:</w:t>
            </w:r>
          </w:p>
          <w:p w14:paraId="3B04986C" w14:textId="7AC26BCA" w:rsidR="002F238A" w:rsidRDefault="0023022F" w:rsidP="002F238A">
            <w:pPr>
              <w:pStyle w:val="NoSpacing"/>
            </w:pPr>
            <w:r>
              <w:t>-</w:t>
            </w:r>
            <w:r w:rsidR="002F238A">
              <w:t>A believable &amp; professional character</w:t>
            </w:r>
          </w:p>
          <w:p w14:paraId="661E8F13" w14:textId="0FAE1C1F" w:rsidR="002F238A" w:rsidRDefault="0023022F" w:rsidP="002F238A">
            <w:pPr>
              <w:pStyle w:val="NoSpacing"/>
            </w:pPr>
            <w:r>
              <w:t>-</w:t>
            </w:r>
            <w:r w:rsidR="002F238A">
              <w:t>Develop an appropriate performer/audience relationship</w:t>
            </w:r>
          </w:p>
          <w:p w14:paraId="237C4A25" w14:textId="25798EEE" w:rsidR="002F238A" w:rsidRDefault="0023022F" w:rsidP="002F238A">
            <w:pPr>
              <w:pStyle w:val="NoSpacing"/>
            </w:pPr>
            <w:r>
              <w:t>-</w:t>
            </w:r>
            <w:r w:rsidR="002F238A">
              <w:t>With sustained engagement</w:t>
            </w:r>
          </w:p>
          <w:p w14:paraId="7089AEBE" w14:textId="77777777" w:rsidR="0018659B" w:rsidRDefault="0018659B" w:rsidP="002F238A">
            <w:pPr>
              <w:pStyle w:val="NoSpacing"/>
            </w:pPr>
          </w:p>
          <w:p w14:paraId="6D0199CB" w14:textId="6743BA38" w:rsidR="0018659B" w:rsidRDefault="0018659B" w:rsidP="002F238A">
            <w:pPr>
              <w:pStyle w:val="NoSpacing"/>
            </w:pPr>
            <w:r w:rsidRPr="0018659B">
              <w:rPr>
                <w:b/>
              </w:rPr>
              <w:t>Respond</w:t>
            </w:r>
            <w:r w:rsidR="002F238A">
              <w:t>:</w:t>
            </w:r>
          </w:p>
          <w:p w14:paraId="2C4BD175" w14:textId="436D06BE" w:rsidR="002F238A" w:rsidRDefault="0023022F" w:rsidP="002F238A">
            <w:pPr>
              <w:pStyle w:val="NoSpacing"/>
            </w:pPr>
            <w:r>
              <w:t>-</w:t>
            </w:r>
            <w:r w:rsidR="002F238A">
              <w:t>To feedback in the rehearsal process</w:t>
            </w:r>
          </w:p>
          <w:p w14:paraId="26CBBCEB" w14:textId="48A88F66" w:rsidR="002F238A" w:rsidRDefault="0023022F" w:rsidP="002F238A">
            <w:pPr>
              <w:pStyle w:val="NoSpacing"/>
            </w:pPr>
            <w:r>
              <w:t>-</w:t>
            </w:r>
            <w:r w:rsidR="002F238A">
              <w:t>To audience response and engagement live in performance</w:t>
            </w:r>
          </w:p>
          <w:p w14:paraId="562386A1" w14:textId="77777777" w:rsidR="0018659B" w:rsidRDefault="0018659B" w:rsidP="002F238A">
            <w:pPr>
              <w:pStyle w:val="NoSpacing"/>
            </w:pPr>
          </w:p>
          <w:p w14:paraId="198C5C2A" w14:textId="397ED113" w:rsidR="0018659B" w:rsidRDefault="0018659B" w:rsidP="002F238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14:paraId="683968F7" w14:textId="77777777" w:rsidR="0018659B" w:rsidRPr="0018659B" w:rsidRDefault="0018659B" w:rsidP="002F238A">
            <w:pPr>
              <w:pStyle w:val="NoSpacing"/>
              <w:rPr>
                <w:sz w:val="16"/>
              </w:rPr>
            </w:pPr>
          </w:p>
          <w:p w14:paraId="7FE94A34" w14:textId="749513E0" w:rsidR="000354B5" w:rsidRDefault="002F238A" w:rsidP="002F238A">
            <w:pPr>
              <w:pStyle w:val="NoSpacing"/>
            </w:pPr>
            <w:r>
              <w:t>Motivation</w:t>
            </w:r>
          </w:p>
          <w:p w14:paraId="65BFC079" w14:textId="77777777" w:rsidR="002F238A" w:rsidRDefault="002F238A" w:rsidP="002F238A">
            <w:pPr>
              <w:pStyle w:val="NoSpacing"/>
            </w:pPr>
          </w:p>
          <w:p w14:paraId="16286972" w14:textId="77777777" w:rsidR="002F238A" w:rsidRDefault="002F238A" w:rsidP="002F238A">
            <w:pPr>
              <w:pStyle w:val="NoSpacing"/>
            </w:pPr>
            <w:r>
              <w:t>Interaction</w:t>
            </w:r>
          </w:p>
          <w:p w14:paraId="2761F1A3" w14:textId="77777777" w:rsidR="002F238A" w:rsidRDefault="002F238A" w:rsidP="002F238A">
            <w:pPr>
              <w:pStyle w:val="NoSpacing"/>
            </w:pPr>
          </w:p>
          <w:p w14:paraId="0936576D" w14:textId="77777777" w:rsidR="002F238A" w:rsidRDefault="002F238A" w:rsidP="002F238A">
            <w:pPr>
              <w:pStyle w:val="NoSpacing"/>
            </w:pPr>
            <w:r>
              <w:t>Climax</w:t>
            </w:r>
          </w:p>
          <w:p w14:paraId="04C4AB45" w14:textId="77777777" w:rsidR="002F238A" w:rsidRDefault="002F238A" w:rsidP="002F238A">
            <w:pPr>
              <w:pStyle w:val="NoSpacing"/>
            </w:pPr>
          </w:p>
          <w:p w14:paraId="64F01C4B" w14:textId="77777777" w:rsidR="002F238A" w:rsidRDefault="002F238A" w:rsidP="002F238A">
            <w:pPr>
              <w:pStyle w:val="NoSpacing"/>
            </w:pPr>
            <w:r>
              <w:t>Stage Directions</w:t>
            </w:r>
          </w:p>
          <w:p w14:paraId="059216DF" w14:textId="77777777" w:rsidR="0023022F" w:rsidRDefault="0023022F" w:rsidP="002F238A">
            <w:pPr>
              <w:pStyle w:val="NoSpacing"/>
            </w:pPr>
          </w:p>
          <w:p w14:paraId="5084222E" w14:textId="77777777" w:rsidR="0023022F" w:rsidRPr="0023022F" w:rsidRDefault="0023022F" w:rsidP="002F238A">
            <w:pPr>
              <w:pStyle w:val="NoSpacing"/>
              <w:rPr>
                <w:sz w:val="18"/>
              </w:rPr>
            </w:pPr>
            <w:r w:rsidRPr="0023022F">
              <w:rPr>
                <w:sz w:val="18"/>
              </w:rPr>
              <w:t>Professionalism</w:t>
            </w:r>
          </w:p>
          <w:p w14:paraId="78202F40" w14:textId="77777777" w:rsidR="0023022F" w:rsidRDefault="0023022F" w:rsidP="002F238A">
            <w:pPr>
              <w:pStyle w:val="NoSpacing"/>
            </w:pPr>
          </w:p>
          <w:p w14:paraId="70B24186" w14:textId="77777777" w:rsidR="0023022F" w:rsidRDefault="0023022F" w:rsidP="002F238A">
            <w:pPr>
              <w:pStyle w:val="NoSpacing"/>
            </w:pPr>
          </w:p>
          <w:p w14:paraId="6A7A5B6F" w14:textId="77777777" w:rsidR="002F238A" w:rsidRDefault="002F238A" w:rsidP="002F238A">
            <w:pPr>
              <w:pStyle w:val="NoSpacing"/>
            </w:pPr>
          </w:p>
          <w:p w14:paraId="2E28E59D" w14:textId="77777777" w:rsidR="002F238A" w:rsidRDefault="002F238A" w:rsidP="002F238A">
            <w:pPr>
              <w:pStyle w:val="NoSpacing"/>
            </w:pPr>
          </w:p>
          <w:p w14:paraId="33D0A3A7" w14:textId="77777777" w:rsidR="000354B5" w:rsidRDefault="000354B5" w:rsidP="002F238A">
            <w:pPr>
              <w:pStyle w:val="NoSpacing"/>
            </w:pPr>
          </w:p>
          <w:p w14:paraId="662313C2" w14:textId="77777777" w:rsidR="000354B5" w:rsidRDefault="000354B5" w:rsidP="002F238A">
            <w:pPr>
              <w:pStyle w:val="NoSpacing"/>
            </w:pPr>
          </w:p>
          <w:p w14:paraId="6AB9EE5D" w14:textId="77777777" w:rsidR="000354B5" w:rsidRDefault="000354B5" w:rsidP="002F238A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6445C90A" w14:textId="21A9A1D2" w:rsidR="002F238A" w:rsidRDefault="002F238A" w:rsidP="002F238A">
            <w:pPr>
              <w:pStyle w:val="NoSpacing"/>
            </w:pPr>
            <w:r>
              <w:t>Independent research of play text &amp; play write</w:t>
            </w:r>
          </w:p>
          <w:p w14:paraId="277C3D3B" w14:textId="77777777" w:rsidR="002F238A" w:rsidRDefault="002F238A" w:rsidP="002F238A">
            <w:pPr>
              <w:pStyle w:val="NoSpacing"/>
            </w:pPr>
          </w:p>
          <w:p w14:paraId="3745BD88" w14:textId="2FE9CD5F" w:rsidR="000354B5" w:rsidRDefault="0018659B" w:rsidP="002F238A">
            <w:pPr>
              <w:pStyle w:val="NoSpacing"/>
            </w:pPr>
            <w:r>
              <w:t>Students will be asked to meet &amp; rehearse with their group outside of lesson, ready for performance.</w:t>
            </w:r>
          </w:p>
          <w:p w14:paraId="71FD8D13" w14:textId="77777777" w:rsidR="002F238A" w:rsidRDefault="002F238A" w:rsidP="002F238A">
            <w:pPr>
              <w:pStyle w:val="NoSpacing"/>
            </w:pPr>
          </w:p>
          <w:p w14:paraId="271A1853" w14:textId="1A928EAF" w:rsidR="002F238A" w:rsidRDefault="002F238A" w:rsidP="002F238A">
            <w:pPr>
              <w:pStyle w:val="NoSpacing"/>
            </w:pPr>
            <w:r>
              <w:t>Rehearsal of lines</w:t>
            </w:r>
            <w:r w:rsidR="003F53DF">
              <w:t>.</w:t>
            </w:r>
          </w:p>
          <w:p w14:paraId="0378A093" w14:textId="45B4E871" w:rsidR="003F53DF" w:rsidRDefault="003F53DF" w:rsidP="002F238A">
            <w:pPr>
              <w:pStyle w:val="NoSpacing"/>
            </w:pPr>
          </w:p>
          <w:p w14:paraId="411462BF" w14:textId="77777777" w:rsidR="003F53DF" w:rsidRPr="003F53DF" w:rsidRDefault="003F53DF" w:rsidP="003F53DF">
            <w:pPr>
              <w:pStyle w:val="NoSpacing"/>
            </w:pPr>
            <w:r w:rsidRPr="003F53DF">
              <w:t>Completion of Unit Overview &amp; Self Evaluation.</w:t>
            </w:r>
          </w:p>
          <w:p w14:paraId="461CFEB2" w14:textId="77777777" w:rsidR="003F53DF" w:rsidRPr="003F53DF" w:rsidRDefault="003F53DF" w:rsidP="003F53DF">
            <w:pPr>
              <w:pStyle w:val="NoSpacing"/>
            </w:pPr>
          </w:p>
          <w:p w14:paraId="6163CD2D" w14:textId="77777777" w:rsidR="003F53DF" w:rsidRPr="003F53DF" w:rsidRDefault="003F53DF" w:rsidP="003F53DF">
            <w:pPr>
              <w:pStyle w:val="NoSpacing"/>
            </w:pPr>
            <w:r w:rsidRPr="003F53DF">
              <w:t>Use of Google Classroom.</w:t>
            </w:r>
          </w:p>
          <w:p w14:paraId="48460401" w14:textId="77777777" w:rsidR="003F53DF" w:rsidRDefault="003F53DF" w:rsidP="002F238A">
            <w:pPr>
              <w:pStyle w:val="NoSpacing"/>
            </w:pPr>
            <w:bookmarkStart w:id="0" w:name="_GoBack"/>
            <w:bookmarkEnd w:id="0"/>
          </w:p>
          <w:p w14:paraId="2F23FCE6" w14:textId="77777777" w:rsidR="002F238A" w:rsidRDefault="002F238A" w:rsidP="002F238A">
            <w:pPr>
              <w:pStyle w:val="NoSpacing"/>
            </w:pPr>
          </w:p>
          <w:p w14:paraId="0984DEC7" w14:textId="77777777" w:rsidR="000354B5" w:rsidRDefault="000354B5" w:rsidP="002F238A">
            <w:pPr>
              <w:pStyle w:val="NoSpacing"/>
            </w:pPr>
          </w:p>
          <w:p w14:paraId="49634000" w14:textId="77777777" w:rsidR="000354B5" w:rsidRDefault="000354B5" w:rsidP="002F238A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069F4F02" w14:textId="77777777" w:rsidR="0018659B" w:rsidRDefault="0018659B" w:rsidP="002F238A">
            <w:pPr>
              <w:pStyle w:val="NoSpacing"/>
            </w:pPr>
          </w:p>
          <w:p w14:paraId="28A6AE1C" w14:textId="4ACF3AF1" w:rsidR="0018659B" w:rsidRDefault="0018659B" w:rsidP="002F238A">
            <w:pPr>
              <w:pStyle w:val="NoSpacing"/>
            </w:pPr>
            <w:r>
              <w:t xml:space="preserve">Regular monitoring of </w:t>
            </w:r>
            <w:r w:rsidR="0023022F">
              <w:t xml:space="preserve">‘Hard Skills’ </w:t>
            </w:r>
            <w:r>
              <w:t>in rehearsal.</w:t>
            </w:r>
          </w:p>
          <w:p w14:paraId="401C8423" w14:textId="77777777" w:rsidR="0018659B" w:rsidRDefault="0018659B" w:rsidP="002F238A">
            <w:pPr>
              <w:pStyle w:val="NoSpacing"/>
            </w:pPr>
          </w:p>
          <w:p w14:paraId="21060DD4" w14:textId="77777777" w:rsidR="0018659B" w:rsidRDefault="0018659B" w:rsidP="002F238A">
            <w:pPr>
              <w:pStyle w:val="NoSpacing"/>
            </w:pPr>
            <w:r>
              <w:t>Regular monitoring of performance skills (students perform every lesson).</w:t>
            </w:r>
          </w:p>
          <w:p w14:paraId="0B1508A5" w14:textId="77777777" w:rsidR="0023022F" w:rsidRDefault="0023022F" w:rsidP="002F238A">
            <w:pPr>
              <w:pStyle w:val="NoSpacing"/>
            </w:pPr>
          </w:p>
          <w:p w14:paraId="40F9544B" w14:textId="04B47986" w:rsidR="0023022F" w:rsidRDefault="0023022F" w:rsidP="002F238A">
            <w:pPr>
              <w:pStyle w:val="NoSpacing"/>
            </w:pPr>
            <w:r>
              <w:t>Teacher, Self &amp; Peer feedback received every lesson.</w:t>
            </w:r>
          </w:p>
          <w:p w14:paraId="31784682" w14:textId="77777777" w:rsidR="0018659B" w:rsidRDefault="0018659B" w:rsidP="002F238A">
            <w:pPr>
              <w:pStyle w:val="NoSpacing"/>
            </w:pPr>
          </w:p>
          <w:p w14:paraId="64E0C247" w14:textId="07F30D62" w:rsidR="000354B5" w:rsidRDefault="0023022F" w:rsidP="002F238A">
            <w:pPr>
              <w:pStyle w:val="NoSpacing"/>
            </w:pPr>
            <w:r>
              <w:t>Live performance to an external examiner</w:t>
            </w:r>
          </w:p>
        </w:tc>
        <w:tc>
          <w:tcPr>
            <w:tcW w:w="1843" w:type="dxa"/>
            <w:shd w:val="clear" w:color="auto" w:fill="auto"/>
          </w:tcPr>
          <w:p w14:paraId="1CB78560" w14:textId="64AD4DBF" w:rsidR="0018659B" w:rsidRDefault="0023022F" w:rsidP="002F238A">
            <w:pPr>
              <w:pStyle w:val="NoSpacing"/>
            </w:pPr>
            <w:r>
              <w:t>Reading of the whole play (of chosen extracts)</w:t>
            </w:r>
          </w:p>
          <w:p w14:paraId="678C96CA" w14:textId="77777777" w:rsidR="0023022F" w:rsidRDefault="0023022F" w:rsidP="002F238A">
            <w:pPr>
              <w:pStyle w:val="NoSpacing"/>
            </w:pPr>
          </w:p>
          <w:p w14:paraId="64EEE90E" w14:textId="77777777" w:rsidR="0023022F" w:rsidRDefault="0023022F" w:rsidP="002F238A">
            <w:pPr>
              <w:pStyle w:val="NoSpacing"/>
            </w:pPr>
            <w:r>
              <w:t xml:space="preserve">Watch full productions of plays if possible (ask Miss Robinson for copies &amp; search on </w:t>
            </w:r>
            <w:proofErr w:type="spellStart"/>
            <w:r>
              <w:t>youtube</w:t>
            </w:r>
            <w:proofErr w:type="spellEnd"/>
            <w:r>
              <w:t xml:space="preserve"> for other examples)</w:t>
            </w:r>
          </w:p>
          <w:p w14:paraId="3C6FA9AF" w14:textId="77777777" w:rsidR="0023022F" w:rsidRDefault="0023022F" w:rsidP="002F238A">
            <w:pPr>
              <w:pStyle w:val="NoSpacing"/>
            </w:pPr>
          </w:p>
          <w:p w14:paraId="3E9FD70B" w14:textId="7A8052FE" w:rsidR="0023022F" w:rsidRDefault="0023022F" w:rsidP="002F238A">
            <w:pPr>
              <w:pStyle w:val="NoSpacing"/>
            </w:pPr>
            <w:r w:rsidRPr="0023022F">
              <w:rPr>
                <w:i/>
              </w:rPr>
              <w:t xml:space="preserve">AQA Drama Handbook </w:t>
            </w:r>
            <w:r>
              <w:t>– Component 3 section</w:t>
            </w:r>
          </w:p>
          <w:p w14:paraId="27FCDDA0" w14:textId="77777777" w:rsidR="0023022F" w:rsidRDefault="0023022F" w:rsidP="002F238A">
            <w:pPr>
              <w:pStyle w:val="NoSpacing"/>
            </w:pPr>
          </w:p>
          <w:p w14:paraId="2ACF06A3" w14:textId="7337A189" w:rsidR="0023022F" w:rsidRDefault="0023022F" w:rsidP="002F238A">
            <w:pPr>
              <w:pStyle w:val="NoSpacing"/>
            </w:pPr>
            <w:r>
              <w:t>Arrange for rehearsals/advice from 6Formers – ask Miss R</w:t>
            </w:r>
          </w:p>
          <w:p w14:paraId="36A676F6" w14:textId="77777777" w:rsidR="000354B5" w:rsidRPr="006472AF" w:rsidRDefault="000354B5" w:rsidP="002F238A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2F238A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184DB246" w14:textId="3895855D" w:rsidR="0018659B" w:rsidRDefault="0023022F" w:rsidP="002F238A">
            <w:pPr>
              <w:pStyle w:val="NoSpacing"/>
            </w:pPr>
            <w:r>
              <w:t>Expanding knowledge of plays.</w:t>
            </w:r>
          </w:p>
          <w:p w14:paraId="23466688" w14:textId="77777777" w:rsidR="0023022F" w:rsidRDefault="0023022F" w:rsidP="002F238A">
            <w:pPr>
              <w:pStyle w:val="NoSpacing"/>
            </w:pPr>
          </w:p>
          <w:p w14:paraId="39562DF6" w14:textId="77777777" w:rsidR="0023022F" w:rsidRDefault="0023022F" w:rsidP="002F238A">
            <w:pPr>
              <w:pStyle w:val="NoSpacing"/>
            </w:pPr>
            <w:r>
              <w:t>Spotlight links to aid rehearsals – see Eli</w:t>
            </w:r>
          </w:p>
          <w:p w14:paraId="120E6B80" w14:textId="77777777" w:rsidR="0023022F" w:rsidRDefault="0023022F" w:rsidP="002F238A">
            <w:pPr>
              <w:pStyle w:val="NoSpacing"/>
            </w:pPr>
          </w:p>
          <w:p w14:paraId="6BD2F479" w14:textId="4B0839D9" w:rsidR="0023022F" w:rsidRDefault="0023022F" w:rsidP="002F238A">
            <w:pPr>
              <w:pStyle w:val="NoSpacing"/>
            </w:pPr>
            <w:r>
              <w:t>Performance of an extract to an unfamiliar audience.</w:t>
            </w:r>
          </w:p>
        </w:tc>
      </w:tr>
    </w:tbl>
    <w:p w14:paraId="7C151D00" w14:textId="3A2E01F8" w:rsidR="002F238A" w:rsidRDefault="002F238A"/>
    <w:sectPr w:rsidR="002F238A" w:rsidSect="00C236F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170595"/>
    <w:rsid w:val="0018659B"/>
    <w:rsid w:val="0023022F"/>
    <w:rsid w:val="002F238A"/>
    <w:rsid w:val="003F53DF"/>
    <w:rsid w:val="00542382"/>
    <w:rsid w:val="006D3989"/>
    <w:rsid w:val="00760F99"/>
    <w:rsid w:val="007D7D7E"/>
    <w:rsid w:val="007F1EC2"/>
    <w:rsid w:val="00912B88"/>
    <w:rsid w:val="009C39D0"/>
    <w:rsid w:val="009C6686"/>
    <w:rsid w:val="00A46347"/>
    <w:rsid w:val="00AF5436"/>
    <w:rsid w:val="00B97D1E"/>
    <w:rsid w:val="00C236F2"/>
    <w:rsid w:val="00C57563"/>
    <w:rsid w:val="00D05FEB"/>
    <w:rsid w:val="00E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5FF2357E-10F9-4AEA-9B8E-7EA52FD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5BC691C7</Template>
  <TotalTime>12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N Robinson</cp:lastModifiedBy>
  <cp:revision>5</cp:revision>
  <dcterms:created xsi:type="dcterms:W3CDTF">2020-02-13T21:39:00Z</dcterms:created>
  <dcterms:modified xsi:type="dcterms:W3CDTF">2020-07-16T13:06:00Z</dcterms:modified>
</cp:coreProperties>
</file>