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26B4ACA1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</w:t>
            </w:r>
            <w:r w:rsidR="000536DC">
              <w:rPr>
                <w:b/>
                <w:bCs/>
                <w:sz w:val="24"/>
                <w:szCs w:val="24"/>
              </w:rPr>
              <w:t>5</w:t>
            </w:r>
            <w:r w:rsidRPr="00E34905">
              <w:rPr>
                <w:b/>
                <w:bCs/>
                <w:sz w:val="24"/>
                <w:szCs w:val="24"/>
              </w:rPr>
              <w:t>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3CB22878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265ADA">
              <w:rPr>
                <w:sz w:val="24"/>
                <w:szCs w:val="24"/>
              </w:rPr>
              <w:t xml:space="preserve">What could the government do to reduce consumption </w:t>
            </w:r>
            <w:r w:rsidR="00A85B25">
              <w:rPr>
                <w:sz w:val="24"/>
                <w:szCs w:val="24"/>
              </w:rPr>
              <w:t>and production of de-merit goods?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32E99615" w14:textId="75BD46CA" w:rsidR="00EC5D15" w:rsidRDefault="00E25812" w:rsidP="00D559ED">
            <w:pPr>
              <w:pStyle w:val="NoSpacing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D9276A">
              <w:rPr>
                <w:b/>
                <w:sz w:val="32"/>
                <w:szCs w:val="32"/>
              </w:rPr>
              <w:t>1</w:t>
            </w:r>
            <w:r w:rsidR="00D9276A" w:rsidRPr="005A7068">
              <w:rPr>
                <w:b/>
                <w:sz w:val="32"/>
                <w:szCs w:val="32"/>
              </w:rPr>
              <w:t>:</w:t>
            </w:r>
            <w:r w:rsidR="00D9276A" w:rsidRPr="00D9276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To</w:t>
            </w:r>
            <w:r w:rsidR="00D9276A" w:rsidRPr="00D9276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investigate the causes of market failure and how the government intervenes to correct market failure</w:t>
            </w:r>
            <w:r w:rsidR="00D9276A" w:rsidRPr="00D9276A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6FBE169" w14:textId="7A2D131D" w:rsidR="00E25812" w:rsidRPr="005A7068" w:rsidRDefault="00B75015" w:rsidP="00D559ED">
            <w:pPr>
              <w:pStyle w:val="NoSpacing"/>
              <w:rPr>
                <w:b/>
                <w:sz w:val="32"/>
                <w:szCs w:val="32"/>
              </w:rPr>
            </w:pPr>
            <w:r>
              <w:t>In this</w:t>
            </w:r>
            <w:r w:rsidR="0084653A">
              <w:t xml:space="preserve"> term </w:t>
            </w:r>
            <w:r w:rsidR="00A85B25">
              <w:t xml:space="preserve">you </w:t>
            </w:r>
            <w:r w:rsidR="00E71205">
              <w:t>will</w:t>
            </w:r>
            <w:r w:rsidR="00A85B25">
              <w:t xml:space="preserve"> investigating negative and positive </w:t>
            </w:r>
            <w:r w:rsidR="00E71205">
              <w:t>externalities</w:t>
            </w:r>
            <w:r w:rsidR="00A85B25">
              <w:t xml:space="preserve"> and how the production of these </w:t>
            </w:r>
            <w:r w:rsidR="006835FD">
              <w:t xml:space="preserve">goods </w:t>
            </w:r>
            <w:r w:rsidR="00E71205">
              <w:t>impact</w:t>
            </w:r>
            <w:r w:rsidR="006835FD">
              <w:t xml:space="preserve"> society and the economy.  You will also </w:t>
            </w:r>
            <w:r w:rsidR="00E71205">
              <w:t>be going</w:t>
            </w:r>
            <w:r w:rsidR="006835FD">
              <w:t xml:space="preserve"> to be investigating </w:t>
            </w:r>
            <w:r w:rsidR="00E71205">
              <w:t>polices</w:t>
            </w:r>
            <w:r w:rsidR="006835FD">
              <w:t xml:space="preserve"> the UK </w:t>
            </w:r>
            <w:r w:rsidR="00E71205">
              <w:t>government</w:t>
            </w:r>
            <w:r w:rsidR="006835FD">
              <w:t xml:space="preserve"> </w:t>
            </w:r>
            <w:r w:rsidR="00E71205">
              <w:t xml:space="preserve">have introduced to reduce the production of demerit goods. 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25871A80" w14:textId="77777777" w:rsidR="00121AB1" w:rsidRPr="00D9276A" w:rsidRDefault="00121AB1" w:rsidP="00D9276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76A">
              <w:rPr>
                <w:rFonts w:ascii="Calibri" w:hAnsi="Calibri" w:cs="Calibri"/>
                <w:color w:val="000000"/>
                <w:sz w:val="22"/>
                <w:szCs w:val="22"/>
              </w:rPr>
              <w:t>Public goods and Information gaps</w:t>
            </w:r>
          </w:p>
          <w:p w14:paraId="4B105506" w14:textId="77777777" w:rsidR="00121AB1" w:rsidRPr="00D9276A" w:rsidRDefault="00121AB1" w:rsidP="00D9276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76A">
              <w:rPr>
                <w:rFonts w:ascii="Calibri" w:hAnsi="Calibri" w:cs="Calibri"/>
                <w:color w:val="000000"/>
                <w:sz w:val="22"/>
                <w:szCs w:val="22"/>
              </w:rPr>
              <w:t>Externalities</w:t>
            </w:r>
          </w:p>
          <w:p w14:paraId="4C9AADAE" w14:textId="77777777" w:rsidR="00121AB1" w:rsidRPr="00D9276A" w:rsidRDefault="00121AB1" w:rsidP="00D9276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76A">
              <w:rPr>
                <w:rFonts w:ascii="Calibri" w:hAnsi="Calibri" w:cs="Calibri"/>
                <w:color w:val="000000"/>
                <w:sz w:val="22"/>
                <w:szCs w:val="22"/>
              </w:rPr>
              <w:t>Maximum and Minimum prices</w:t>
            </w:r>
          </w:p>
          <w:p w14:paraId="6505D8A1" w14:textId="77777777" w:rsidR="00121AB1" w:rsidRPr="00D9276A" w:rsidRDefault="00121AB1" w:rsidP="00D9276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76A">
              <w:rPr>
                <w:rFonts w:ascii="Calibri" w:hAnsi="Calibri" w:cs="Calibri"/>
                <w:color w:val="000000"/>
                <w:sz w:val="22"/>
                <w:szCs w:val="22"/>
              </w:rPr>
              <w:t>State provision</w:t>
            </w:r>
          </w:p>
          <w:p w14:paraId="2C549253" w14:textId="77777777" w:rsidR="00121AB1" w:rsidRPr="00D9276A" w:rsidRDefault="00121AB1" w:rsidP="00D9276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7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Tradable pollution permits </w:t>
            </w:r>
          </w:p>
          <w:p w14:paraId="06E56C37" w14:textId="77777777" w:rsidR="00E25812" w:rsidRPr="00B75015" w:rsidRDefault="00E25812" w:rsidP="00985AD0">
            <w:pPr>
              <w:pStyle w:val="NoSpacing"/>
            </w:pP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B75015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1565CF61" w14:textId="2E298905" w:rsidR="004930DE" w:rsidRDefault="00125AA3" w:rsidP="00E71205">
            <w:pPr>
              <w:pStyle w:val="NoSpacing"/>
            </w:pPr>
            <w:r>
              <w:t>Illustrate the</w:t>
            </w:r>
            <w:r w:rsidR="00AA5379">
              <w:t xml:space="preserve"> impact of consuming merit and demerit goods on a demand and supply diagram. </w:t>
            </w: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5F7C1CA6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 good.</w:t>
            </w:r>
          </w:p>
          <w:p w14:paraId="3763E6F8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 good. </w:t>
            </w:r>
          </w:p>
          <w:p w14:paraId="0EA089B2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 sector.</w:t>
            </w:r>
          </w:p>
          <w:p w14:paraId="3FCF1DB9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Non-rival.</w:t>
            </w:r>
          </w:p>
          <w:p w14:paraId="07B4148F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Non-excludable. </w:t>
            </w:r>
          </w:p>
          <w:p w14:paraId="228556F7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Asymmetric information. </w:t>
            </w:r>
          </w:p>
          <w:p w14:paraId="7066113A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Symmetric information. </w:t>
            </w:r>
          </w:p>
          <w:p w14:paraId="16AFD390" w14:textId="77777777" w:rsidR="005B19C9" w:rsidRDefault="005B19C9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Information gap.</w:t>
            </w:r>
          </w:p>
          <w:p w14:paraId="49AAB955" w14:textId="77777777" w:rsidR="005B19C9" w:rsidRDefault="005B19C9" w:rsidP="005B19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Externalities.</w:t>
            </w:r>
          </w:p>
          <w:p w14:paraId="44150C54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 costs.</w:t>
            </w:r>
          </w:p>
          <w:p w14:paraId="7686CC0D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costs.</w:t>
            </w:r>
          </w:p>
          <w:p w14:paraId="2C4F1140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costs.</w:t>
            </w:r>
          </w:p>
          <w:p w14:paraId="705587E8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Private benefit.</w:t>
            </w:r>
          </w:p>
          <w:p w14:paraId="1C4BD04F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benefit.</w:t>
            </w:r>
          </w:p>
          <w:p w14:paraId="23833873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benefit.</w:t>
            </w:r>
          </w:p>
          <w:p w14:paraId="7C194DC5" w14:textId="77777777" w:rsidR="005C31D7" w:rsidRDefault="005C31D7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Welfare loss.</w:t>
            </w:r>
          </w:p>
          <w:p w14:paraId="44044A3F" w14:textId="69EF4260" w:rsidR="005C31D7" w:rsidRPr="005C31D7" w:rsidRDefault="005C31D7" w:rsidP="005B19C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Welfare gain</w:t>
            </w:r>
            <w:r>
              <w:t>.</w:t>
            </w:r>
          </w:p>
          <w:p w14:paraId="1CBBD234" w14:textId="765D3354" w:rsidR="00E25812" w:rsidRPr="0019796F" w:rsidRDefault="005B19C9" w:rsidP="005C31D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6A77869C" w14:textId="38E61A4B" w:rsidR="00E25812" w:rsidRDefault="00AD5AFE" w:rsidP="0019796F">
            <w:pPr>
              <w:pStyle w:val="NoSpacing"/>
            </w:pPr>
            <w:r>
              <w:t xml:space="preserve">Is it in the government best </w:t>
            </w:r>
            <w:r w:rsidR="00545A64">
              <w:t>interest</w:t>
            </w:r>
            <w:r>
              <w:t xml:space="preserve"> to ban the production of certain </w:t>
            </w:r>
            <w:r w:rsidR="00545A64">
              <w:t>demerit</w:t>
            </w:r>
            <w:r>
              <w:t xml:space="preserve"> goods such as </w:t>
            </w:r>
            <w:r w:rsidR="00545A64">
              <w:t xml:space="preserve">cigarettes and alcohol? </w:t>
            </w:r>
          </w:p>
          <w:p w14:paraId="2C4EE5DA" w14:textId="77777777" w:rsidR="00C52C5C" w:rsidRDefault="00C52C5C" w:rsidP="0019796F">
            <w:pPr>
              <w:pStyle w:val="NoSpacing"/>
            </w:pPr>
          </w:p>
          <w:p w14:paraId="74BB0C95" w14:textId="737917EB" w:rsidR="00C52C5C" w:rsidRDefault="00C52C5C" w:rsidP="0019796F">
            <w:pPr>
              <w:pStyle w:val="NoSpacing"/>
            </w:pPr>
            <w:proofErr w:type="spellStart"/>
            <w:r>
              <w:t>Freaknomics</w:t>
            </w:r>
            <w:proofErr w:type="spellEnd"/>
            <w:r>
              <w:t>.</w:t>
            </w:r>
          </w:p>
        </w:tc>
      </w:tr>
    </w:tbl>
    <w:p w14:paraId="4DDD199D" w14:textId="65735D67" w:rsidR="00AD2AE2" w:rsidRDefault="00AD2AE2"/>
    <w:p w14:paraId="221E6AEC" w14:textId="03F8B2D5" w:rsidR="00E25812" w:rsidRDefault="00E25812"/>
    <w:tbl>
      <w:tblPr>
        <w:tblpPr w:leftFromText="180" w:rightFromText="180" w:vertAnchor="page" w:horzAnchor="margin" w:tblpXSpec="center" w:tblpY="66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630"/>
        <w:gridCol w:w="1987"/>
        <w:gridCol w:w="1519"/>
        <w:gridCol w:w="1753"/>
        <w:gridCol w:w="1899"/>
        <w:gridCol w:w="2339"/>
      </w:tblGrid>
      <w:tr w:rsidR="00E25812" w14:paraId="0C3A7F3B" w14:textId="77777777" w:rsidTr="00985AD0">
        <w:trPr>
          <w:trHeight w:val="265"/>
        </w:trPr>
        <w:tc>
          <w:tcPr>
            <w:tcW w:w="3033" w:type="dxa"/>
            <w:shd w:val="clear" w:color="auto" w:fill="E2EFD9" w:themeFill="accent6" w:themeFillTint="33"/>
          </w:tcPr>
          <w:p w14:paraId="0D4E2C41" w14:textId="0F198A96" w:rsidR="00E25812" w:rsidRPr="0085339F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5339F">
              <w:rPr>
                <w:b/>
                <w:bCs/>
                <w:sz w:val="24"/>
                <w:szCs w:val="24"/>
              </w:rPr>
              <w:lastRenderedPageBreak/>
              <w:t>Year 1</w:t>
            </w:r>
            <w:r w:rsidR="0019433A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Term </w:t>
            </w:r>
            <w:r w:rsidR="000536DC">
              <w:rPr>
                <w:b/>
                <w:bCs/>
                <w:sz w:val="24"/>
                <w:szCs w:val="24"/>
              </w:rPr>
              <w:t>5</w:t>
            </w:r>
            <w:r w:rsidRPr="0085339F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2127" w:type="dxa"/>
            <w:gridSpan w:val="6"/>
            <w:shd w:val="clear" w:color="auto" w:fill="E2EFD9" w:themeFill="accent6" w:themeFillTint="33"/>
          </w:tcPr>
          <w:p w14:paraId="439D7FBE" w14:textId="7C2E9848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Our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mission is to stimulate and challenge our students to excel and provide a desire for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lifelong learning and pursue careers in the world of Business, </w:t>
            </w:r>
            <w:proofErr w:type="gramStart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</w:t>
            </w:r>
          </w:p>
        </w:tc>
      </w:tr>
      <w:tr w:rsidR="00E25812" w14:paraId="3203F4BA" w14:textId="77777777" w:rsidTr="00985AD0">
        <w:trPr>
          <w:trHeight w:val="354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3B2FC0CB" w14:textId="51D58544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>Enquiry Questions:</w:t>
            </w:r>
            <w:r w:rsidR="00153B94">
              <w:rPr>
                <w:b/>
                <w:sz w:val="24"/>
                <w:szCs w:val="24"/>
              </w:rPr>
              <w:t xml:space="preserve"> </w:t>
            </w:r>
            <w:r w:rsidR="00651CF9">
              <w:rPr>
                <w:b/>
                <w:sz w:val="24"/>
                <w:szCs w:val="24"/>
              </w:rPr>
              <w:t>Is i</w:t>
            </w:r>
            <w:r w:rsidR="00315F77">
              <w:rPr>
                <w:b/>
                <w:sz w:val="24"/>
                <w:szCs w:val="24"/>
              </w:rPr>
              <w:t xml:space="preserve">t in the consumers best interest </w:t>
            </w:r>
            <w:r w:rsidR="00B65F93">
              <w:rPr>
                <w:b/>
                <w:sz w:val="24"/>
                <w:szCs w:val="24"/>
              </w:rPr>
              <w:t>that the government often discourages mergers and acquisitions</w:t>
            </w:r>
            <w:r w:rsidR="00153B94">
              <w:rPr>
                <w:sz w:val="24"/>
                <w:szCs w:val="24"/>
              </w:rPr>
              <w:t>?</w:t>
            </w:r>
          </w:p>
        </w:tc>
      </w:tr>
      <w:tr w:rsidR="00E25812" w14:paraId="312E09E9" w14:textId="77777777" w:rsidTr="00985AD0">
        <w:trPr>
          <w:trHeight w:val="815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68072950" w14:textId="4097E974" w:rsidR="00E25812" w:rsidRPr="00E06AC5" w:rsidRDefault="00E25812" w:rsidP="00E06AC5">
            <w:pPr>
              <w:pStyle w:val="NormalWeb"/>
              <w:spacing w:before="0" w:beforeAutospacing="0" w:after="0" w:afterAutospacing="0"/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19433A">
              <w:rPr>
                <w:b/>
                <w:sz w:val="32"/>
                <w:szCs w:val="32"/>
              </w:rPr>
              <w:t>3</w:t>
            </w:r>
            <w:r w:rsidRPr="005A7068">
              <w:rPr>
                <w:b/>
                <w:sz w:val="32"/>
                <w:szCs w:val="32"/>
              </w:rPr>
              <w:t>:</w:t>
            </w:r>
            <w:r w:rsidR="00E06AC5">
              <w:rPr>
                <w:b/>
                <w:sz w:val="32"/>
                <w:szCs w:val="32"/>
              </w:rPr>
              <w:t xml:space="preserve"> </w:t>
            </w:r>
            <w:r w:rsidR="00E06AC5" w:rsidRPr="00E06AC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To investigate how the government intervenes in the market to ensure that resources are allocated fairly.  </w:t>
            </w:r>
            <w:r w:rsidR="005C3DCB" w:rsidRPr="00E06AC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Also,</w:t>
            </w:r>
            <w:r w:rsidR="00E06AC5" w:rsidRPr="00E06AC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to investigate the factors affecting demand and supply of labour</w:t>
            </w:r>
            <w:r w:rsidR="00E06AC5" w:rsidRPr="00E06AC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0239C40" w14:textId="55A8CE14" w:rsidR="006E4F01" w:rsidRPr="006E4F01" w:rsidRDefault="006E4F01" w:rsidP="00985AD0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In the term </w:t>
            </w:r>
            <w:r w:rsidR="00B65F93">
              <w:rPr>
                <w:rFonts w:cs="Calibri"/>
                <w:color w:val="000000"/>
                <w:sz w:val="24"/>
                <w:szCs w:val="24"/>
              </w:rPr>
              <w:t xml:space="preserve">you will be </w:t>
            </w:r>
            <w:r w:rsidR="00FE7BD0">
              <w:rPr>
                <w:rFonts w:cs="Calibri"/>
                <w:color w:val="000000"/>
                <w:sz w:val="24"/>
                <w:szCs w:val="24"/>
              </w:rPr>
              <w:t xml:space="preserve">investigating </w:t>
            </w:r>
            <w:r w:rsidR="005C3DCB">
              <w:rPr>
                <w:rFonts w:cs="Calibri"/>
                <w:color w:val="000000"/>
                <w:sz w:val="24"/>
                <w:szCs w:val="24"/>
              </w:rPr>
              <w:t xml:space="preserve">the role of the CMA plays in </w:t>
            </w:r>
            <w:r w:rsidR="006A070E">
              <w:rPr>
                <w:rFonts w:cs="Calibri"/>
                <w:color w:val="000000"/>
                <w:sz w:val="24"/>
                <w:szCs w:val="24"/>
              </w:rPr>
              <w:t>regulating</w:t>
            </w:r>
            <w:r w:rsidR="005C3DCB">
              <w:rPr>
                <w:rFonts w:cs="Calibri"/>
                <w:color w:val="000000"/>
                <w:sz w:val="24"/>
                <w:szCs w:val="24"/>
              </w:rPr>
              <w:t xml:space="preserve"> industries who have price setting power.  You will </w:t>
            </w:r>
            <w:r w:rsidR="006A070E">
              <w:rPr>
                <w:rFonts w:cs="Calibri"/>
                <w:color w:val="000000"/>
                <w:sz w:val="24"/>
                <w:szCs w:val="24"/>
              </w:rPr>
              <w:t xml:space="preserve">be </w:t>
            </w:r>
            <w:r w:rsidR="004D1067">
              <w:rPr>
                <w:rFonts w:cs="Calibri"/>
                <w:color w:val="000000"/>
                <w:sz w:val="24"/>
                <w:szCs w:val="24"/>
              </w:rPr>
              <w:t xml:space="preserve">also </w:t>
            </w:r>
            <w:r w:rsidR="006A070E">
              <w:rPr>
                <w:rFonts w:cs="Calibri"/>
                <w:color w:val="000000"/>
                <w:sz w:val="24"/>
                <w:szCs w:val="24"/>
              </w:rPr>
              <w:t>investing</w:t>
            </w:r>
            <w:r w:rsidR="004D1067">
              <w:rPr>
                <w:rFonts w:cs="Calibri"/>
                <w:color w:val="000000"/>
                <w:sz w:val="24"/>
                <w:szCs w:val="24"/>
              </w:rPr>
              <w:t xml:space="preserve"> the </w:t>
            </w:r>
            <w:r w:rsidR="006A070E">
              <w:rPr>
                <w:rFonts w:cs="Calibri"/>
                <w:color w:val="000000"/>
                <w:sz w:val="24"/>
                <w:szCs w:val="24"/>
              </w:rPr>
              <w:t>strategies</w:t>
            </w:r>
            <w:r w:rsidR="004D1067">
              <w:rPr>
                <w:rFonts w:cs="Calibri"/>
                <w:color w:val="000000"/>
                <w:sz w:val="24"/>
                <w:szCs w:val="24"/>
              </w:rPr>
              <w:t xml:space="preserve"> the CMA employs to </w:t>
            </w:r>
            <w:r w:rsidR="006A070E">
              <w:rPr>
                <w:rFonts w:cs="Calibri"/>
                <w:color w:val="000000"/>
                <w:sz w:val="24"/>
                <w:szCs w:val="24"/>
              </w:rPr>
              <w:t xml:space="preserve">regulate these firms. </w:t>
            </w:r>
          </w:p>
        </w:tc>
      </w:tr>
      <w:tr w:rsidR="00E25812" w14:paraId="6C69B860" w14:textId="77777777" w:rsidTr="007D6DC8">
        <w:trPr>
          <w:trHeight w:val="529"/>
        </w:trPr>
        <w:tc>
          <w:tcPr>
            <w:tcW w:w="3033" w:type="dxa"/>
            <w:shd w:val="clear" w:color="auto" w:fill="auto"/>
          </w:tcPr>
          <w:p w14:paraId="4E3EEE22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F427AEC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630" w:type="dxa"/>
            <w:shd w:val="clear" w:color="auto" w:fill="auto"/>
          </w:tcPr>
          <w:p w14:paraId="14729125" w14:textId="77777777" w:rsidR="00E25812" w:rsidRPr="00E34905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    s</w:t>
            </w:r>
            <w:r>
              <w:t>tudents will be able to…</w:t>
            </w:r>
          </w:p>
        </w:tc>
        <w:tc>
          <w:tcPr>
            <w:tcW w:w="1987" w:type="dxa"/>
            <w:shd w:val="clear" w:color="auto" w:fill="auto"/>
          </w:tcPr>
          <w:p w14:paraId="0A36F10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  <w:p w14:paraId="78C8DF3F" w14:textId="77777777" w:rsidR="00E25812" w:rsidRPr="002E48EE" w:rsidRDefault="00E25812" w:rsidP="00985AD0">
            <w:pPr>
              <w:pStyle w:val="NoSpacing"/>
              <w:rPr>
                <w:b/>
                <w:bCs/>
                <w:i/>
              </w:rPr>
            </w:pPr>
          </w:p>
        </w:tc>
        <w:tc>
          <w:tcPr>
            <w:tcW w:w="1519" w:type="dxa"/>
            <w:shd w:val="clear" w:color="auto" w:fill="auto"/>
          </w:tcPr>
          <w:p w14:paraId="4D2967F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53" w:type="dxa"/>
            <w:shd w:val="clear" w:color="auto" w:fill="auto"/>
          </w:tcPr>
          <w:p w14:paraId="4885BD0E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1899" w:type="dxa"/>
            <w:shd w:val="clear" w:color="auto" w:fill="auto"/>
          </w:tcPr>
          <w:p w14:paraId="4DB28B8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559F2117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339" w:type="dxa"/>
            <w:shd w:val="clear" w:color="auto" w:fill="auto"/>
          </w:tcPr>
          <w:p w14:paraId="54C55CE6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3289D2D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5564B7F5" w14:textId="77777777" w:rsidTr="007D6DC8">
        <w:trPr>
          <w:trHeight w:val="6011"/>
        </w:trPr>
        <w:tc>
          <w:tcPr>
            <w:tcW w:w="3033" w:type="dxa"/>
            <w:shd w:val="clear" w:color="auto" w:fill="auto"/>
          </w:tcPr>
          <w:p w14:paraId="136A006A" w14:textId="77777777" w:rsidR="00315BCB" w:rsidRPr="006770C5" w:rsidRDefault="00315BCB" w:rsidP="00315BC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0C5">
              <w:rPr>
                <w:rFonts w:ascii="Calibri" w:hAnsi="Calibri" w:cs="Calibri"/>
                <w:color w:val="000000"/>
                <w:sz w:val="22"/>
                <w:szCs w:val="22"/>
              </w:rPr>
              <w:t>Market regulation</w:t>
            </w:r>
          </w:p>
          <w:p w14:paraId="649E9D66" w14:textId="77777777" w:rsidR="00315BCB" w:rsidRPr="006770C5" w:rsidRDefault="00315BCB" w:rsidP="006770C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0C5">
              <w:rPr>
                <w:rFonts w:ascii="Calibri" w:hAnsi="Calibri" w:cs="Calibri"/>
                <w:color w:val="000000"/>
                <w:sz w:val="22"/>
                <w:szCs w:val="22"/>
              </w:rPr>
              <w:t>Government intervention</w:t>
            </w:r>
          </w:p>
          <w:p w14:paraId="3409496B" w14:textId="77777777" w:rsidR="00315BCB" w:rsidRPr="006770C5" w:rsidRDefault="00315BCB" w:rsidP="006770C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0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Labour Market and Wage Determination </w:t>
            </w:r>
          </w:p>
          <w:p w14:paraId="18F9850E" w14:textId="77777777" w:rsidR="00E25812" w:rsidRDefault="00E25812" w:rsidP="00985AD0">
            <w:pPr>
              <w:pStyle w:val="NoSpacing"/>
            </w:pPr>
          </w:p>
          <w:p w14:paraId="37721FBC" w14:textId="77777777" w:rsidR="00E25812" w:rsidRDefault="00E25812" w:rsidP="00985AD0">
            <w:pPr>
              <w:pStyle w:val="NoSpacing"/>
            </w:pPr>
            <w: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0384B3C" w14:textId="0DDCDA46" w:rsidR="00E25812" w:rsidRDefault="002218F4" w:rsidP="00985AD0">
            <w:pPr>
              <w:pStyle w:val="NoSpacing"/>
            </w:pPr>
            <w:r>
              <w:t>Illustrate the</w:t>
            </w:r>
            <w:r w:rsidR="00DE77B5">
              <w:t xml:space="preserve"> </w:t>
            </w:r>
            <w:r w:rsidR="006770C5">
              <w:t xml:space="preserve">relationship between wages and hours </w:t>
            </w:r>
            <w:r w:rsidR="00DE77B5">
              <w:t>committed for an employee to a firm.</w:t>
            </w:r>
            <w:r w:rsidR="00F677AC">
              <w:t xml:space="preserve"> </w:t>
            </w:r>
          </w:p>
          <w:p w14:paraId="7AAB11C3" w14:textId="77777777" w:rsidR="00E25812" w:rsidRDefault="00E25812" w:rsidP="00985AD0">
            <w:pPr>
              <w:pStyle w:val="NoSpacing"/>
            </w:pPr>
          </w:p>
          <w:p w14:paraId="0FD5654C" w14:textId="77777777" w:rsidR="00E25812" w:rsidRDefault="00E25812" w:rsidP="00985AD0">
            <w:pPr>
              <w:pStyle w:val="NoSpacing"/>
            </w:pPr>
          </w:p>
          <w:p w14:paraId="089BC70A" w14:textId="77777777" w:rsidR="00E25812" w:rsidRDefault="00E25812" w:rsidP="00985AD0">
            <w:pPr>
              <w:pStyle w:val="NoSpacing"/>
            </w:pPr>
          </w:p>
          <w:p w14:paraId="5B2F8779" w14:textId="77777777" w:rsidR="00E25812" w:rsidRDefault="00E25812" w:rsidP="00985AD0">
            <w:pPr>
              <w:pStyle w:val="NoSpacing"/>
            </w:pPr>
          </w:p>
        </w:tc>
        <w:tc>
          <w:tcPr>
            <w:tcW w:w="1987" w:type="dxa"/>
            <w:shd w:val="clear" w:color="auto" w:fill="auto"/>
          </w:tcPr>
          <w:p w14:paraId="08FA54FA" w14:textId="77777777" w:rsidR="00435372" w:rsidRDefault="00435372" w:rsidP="004353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Labour </w:t>
            </w:r>
          </w:p>
          <w:p w14:paraId="069AAA07" w14:textId="77777777" w:rsidR="00435372" w:rsidRDefault="00435372" w:rsidP="004353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Derived demand.</w:t>
            </w:r>
          </w:p>
          <w:p w14:paraId="7BC19ECB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Deregulation.</w:t>
            </w:r>
          </w:p>
          <w:p w14:paraId="4DF5BBB2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Competitive tendering.</w:t>
            </w:r>
          </w:p>
          <w:p w14:paraId="672E6F82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Privatisation.  </w:t>
            </w:r>
          </w:p>
          <w:p w14:paraId="7B78B1E1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Regulatory capture</w:t>
            </w:r>
          </w:p>
          <w:p w14:paraId="604CF4E7" w14:textId="00A17B22" w:rsidR="00293B64" w:rsidRDefault="00293B64" w:rsidP="00293B6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Asymmetric information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1773E82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Price regulation</w:t>
            </w:r>
          </w:p>
          <w:p w14:paraId="36A5F61E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Profit regulation</w:t>
            </w:r>
          </w:p>
          <w:p w14:paraId="17DF9E2A" w14:textId="77777777" w:rsidR="00293B64" w:rsidRDefault="00293B64" w:rsidP="00293B6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Quality standards</w:t>
            </w:r>
          </w:p>
          <w:p w14:paraId="3A9A21B6" w14:textId="79C33888" w:rsidR="00293B64" w:rsidRDefault="00293B64" w:rsidP="004353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Performance targets</w:t>
            </w:r>
            <w:r>
              <w:t>.</w:t>
            </w:r>
          </w:p>
          <w:p w14:paraId="48CC0965" w14:textId="77777777" w:rsidR="003D41D0" w:rsidRDefault="003D41D0" w:rsidP="003D41D0"/>
          <w:p w14:paraId="38132900" w14:textId="77777777" w:rsidR="003D41D0" w:rsidRDefault="003D41D0" w:rsidP="00F24EF1">
            <w:pPr>
              <w:pStyle w:val="NormalWeb"/>
              <w:spacing w:before="0" w:beforeAutospacing="0" w:after="0" w:afterAutospacing="0"/>
            </w:pPr>
          </w:p>
          <w:p w14:paraId="4364419D" w14:textId="77777777" w:rsidR="00F24EF1" w:rsidRDefault="00F24EF1" w:rsidP="00F24EF1"/>
          <w:p w14:paraId="70A7775F" w14:textId="7836049D" w:rsidR="007D6DC8" w:rsidRPr="00AA6EA2" w:rsidRDefault="007D6DC8" w:rsidP="00AA6EA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shd w:val="clear" w:color="auto" w:fill="auto"/>
          </w:tcPr>
          <w:p w14:paraId="639B5E29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5A784567" w14:textId="77777777" w:rsidR="00E25812" w:rsidRDefault="00E25812" w:rsidP="00985AD0">
            <w:pPr>
              <w:pStyle w:val="NoSpacing"/>
            </w:pPr>
          </w:p>
          <w:p w14:paraId="530B5995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757888CF" w14:textId="77777777" w:rsidR="00E25812" w:rsidRDefault="00E25812" w:rsidP="00985AD0">
            <w:pPr>
              <w:pStyle w:val="NoSpacing"/>
            </w:pPr>
          </w:p>
          <w:p w14:paraId="2C256BAE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32A0BD11" w14:textId="77777777" w:rsidR="00E25812" w:rsidRDefault="00E25812" w:rsidP="00985AD0">
            <w:pPr>
              <w:pStyle w:val="NoSpacing"/>
            </w:pPr>
          </w:p>
          <w:p w14:paraId="5B81FA42" w14:textId="77777777" w:rsidR="00E25812" w:rsidRDefault="00E25812" w:rsidP="00985AD0">
            <w:pPr>
              <w:pStyle w:val="NoSpacing"/>
            </w:pPr>
          </w:p>
        </w:tc>
        <w:tc>
          <w:tcPr>
            <w:tcW w:w="1753" w:type="dxa"/>
            <w:shd w:val="clear" w:color="auto" w:fill="auto"/>
          </w:tcPr>
          <w:p w14:paraId="246AA1F3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29D3B74D" w14:textId="77777777" w:rsidR="00E25812" w:rsidRDefault="00E25812" w:rsidP="00985AD0">
            <w:pPr>
              <w:pStyle w:val="NoSpacing"/>
            </w:pPr>
          </w:p>
          <w:p w14:paraId="3A2BDE83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99" w:type="dxa"/>
            <w:shd w:val="clear" w:color="auto" w:fill="auto"/>
          </w:tcPr>
          <w:p w14:paraId="400423C1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79DC669F" w14:textId="77777777" w:rsidR="00E25812" w:rsidRDefault="00E25812" w:rsidP="00985AD0">
            <w:pPr>
              <w:pStyle w:val="NoSpacing"/>
            </w:pPr>
          </w:p>
          <w:p w14:paraId="1759D4DB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6C478908" w14:textId="77777777" w:rsidR="00E25812" w:rsidRDefault="00E25812" w:rsidP="00985AD0">
            <w:pPr>
              <w:pStyle w:val="NoSpacing"/>
            </w:pPr>
          </w:p>
          <w:p w14:paraId="0F60EFF2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339" w:type="dxa"/>
            <w:shd w:val="clear" w:color="auto" w:fill="auto"/>
          </w:tcPr>
          <w:p w14:paraId="3512B085" w14:textId="36312646" w:rsidR="00E25812" w:rsidRDefault="001E7A26" w:rsidP="00985AD0">
            <w:pPr>
              <w:pStyle w:val="NoSpacing"/>
            </w:pPr>
            <w:r>
              <w:t xml:space="preserve">Would a employee would necessary work for longer hours if their salary increases? </w:t>
            </w:r>
          </w:p>
          <w:p w14:paraId="54BCEAA4" w14:textId="77777777" w:rsidR="00A94F02" w:rsidRDefault="00A94F02" w:rsidP="00985AD0">
            <w:pPr>
              <w:pStyle w:val="NoSpacing"/>
            </w:pPr>
          </w:p>
          <w:p w14:paraId="290AA1D4" w14:textId="77777777" w:rsidR="00E25812" w:rsidRDefault="00E25812" w:rsidP="00985AD0">
            <w:pPr>
              <w:pStyle w:val="NoSpacing"/>
            </w:pPr>
            <w:proofErr w:type="spellStart"/>
            <w:r>
              <w:t>Freaknomics</w:t>
            </w:r>
            <w:proofErr w:type="spellEnd"/>
          </w:p>
          <w:p w14:paraId="17EF0EBF" w14:textId="77777777" w:rsidR="00E25812" w:rsidRDefault="00E25812" w:rsidP="00985AD0">
            <w:pPr>
              <w:pStyle w:val="NoSpacing"/>
            </w:pPr>
          </w:p>
          <w:p w14:paraId="491568DD" w14:textId="77777777" w:rsidR="00E25812" w:rsidRDefault="00E25812" w:rsidP="00985AD0">
            <w:pPr>
              <w:pStyle w:val="NoSpacing"/>
            </w:pPr>
          </w:p>
        </w:tc>
      </w:tr>
    </w:tbl>
    <w:p w14:paraId="2CC62121" w14:textId="47F1BF16" w:rsidR="00E25812" w:rsidRDefault="00E2581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53F"/>
    <w:multiLevelType w:val="multilevel"/>
    <w:tmpl w:val="D6BE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3BE8"/>
    <w:multiLevelType w:val="multilevel"/>
    <w:tmpl w:val="FA1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60C6A"/>
    <w:multiLevelType w:val="multilevel"/>
    <w:tmpl w:val="E1F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178C7"/>
    <w:multiLevelType w:val="multilevel"/>
    <w:tmpl w:val="6706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43CF5"/>
    <w:multiLevelType w:val="multilevel"/>
    <w:tmpl w:val="7F18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B280C"/>
    <w:multiLevelType w:val="multilevel"/>
    <w:tmpl w:val="1CB0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6"/>
  </w:num>
  <w:num w:numId="2" w16cid:durableId="731663004">
    <w:abstractNumId w:val="2"/>
  </w:num>
  <w:num w:numId="3" w16cid:durableId="260602233">
    <w:abstractNumId w:val="4"/>
  </w:num>
  <w:num w:numId="4" w16cid:durableId="1002128760">
    <w:abstractNumId w:val="1"/>
  </w:num>
  <w:num w:numId="5" w16cid:durableId="1593079428">
    <w:abstractNumId w:val="3"/>
  </w:num>
  <w:num w:numId="6" w16cid:durableId="972753869">
    <w:abstractNumId w:val="5"/>
  </w:num>
  <w:num w:numId="7" w16cid:durableId="2077320724">
    <w:abstractNumId w:val="7"/>
  </w:num>
  <w:num w:numId="8" w16cid:durableId="1570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3227F"/>
    <w:rsid w:val="000536DC"/>
    <w:rsid w:val="000B27A8"/>
    <w:rsid w:val="000B7FA0"/>
    <w:rsid w:val="000C328B"/>
    <w:rsid w:val="001040F0"/>
    <w:rsid w:val="00121AB1"/>
    <w:rsid w:val="00125AA3"/>
    <w:rsid w:val="0014378A"/>
    <w:rsid w:val="00153B94"/>
    <w:rsid w:val="0016490C"/>
    <w:rsid w:val="0019433A"/>
    <w:rsid w:val="0019796F"/>
    <w:rsid w:val="001B52D0"/>
    <w:rsid w:val="001B5504"/>
    <w:rsid w:val="001C49E8"/>
    <w:rsid w:val="001E6EDE"/>
    <w:rsid w:val="001E7A26"/>
    <w:rsid w:val="001F546D"/>
    <w:rsid w:val="0021786C"/>
    <w:rsid w:val="002218F4"/>
    <w:rsid w:val="00251809"/>
    <w:rsid w:val="00264885"/>
    <w:rsid w:val="00265ADA"/>
    <w:rsid w:val="00293B64"/>
    <w:rsid w:val="002D75B9"/>
    <w:rsid w:val="002E17AB"/>
    <w:rsid w:val="002F4DC4"/>
    <w:rsid w:val="00315BCB"/>
    <w:rsid w:val="00315F77"/>
    <w:rsid w:val="00357352"/>
    <w:rsid w:val="003C4D7F"/>
    <w:rsid w:val="003C617B"/>
    <w:rsid w:val="003D41D0"/>
    <w:rsid w:val="00435372"/>
    <w:rsid w:val="00456D62"/>
    <w:rsid w:val="004930DE"/>
    <w:rsid w:val="00497FF4"/>
    <w:rsid w:val="004D1067"/>
    <w:rsid w:val="00511573"/>
    <w:rsid w:val="00511A95"/>
    <w:rsid w:val="00545A64"/>
    <w:rsid w:val="005B19C9"/>
    <w:rsid w:val="005C31D7"/>
    <w:rsid w:val="005C3DCB"/>
    <w:rsid w:val="005C7872"/>
    <w:rsid w:val="005F3F68"/>
    <w:rsid w:val="0065009D"/>
    <w:rsid w:val="00651CF9"/>
    <w:rsid w:val="006770C5"/>
    <w:rsid w:val="006835FD"/>
    <w:rsid w:val="006918A6"/>
    <w:rsid w:val="006A070E"/>
    <w:rsid w:val="006C21F6"/>
    <w:rsid w:val="006C3E30"/>
    <w:rsid w:val="006D3F84"/>
    <w:rsid w:val="006E4F01"/>
    <w:rsid w:val="00745B68"/>
    <w:rsid w:val="007D5919"/>
    <w:rsid w:val="007D6DC8"/>
    <w:rsid w:val="0084653A"/>
    <w:rsid w:val="0085574B"/>
    <w:rsid w:val="008976A6"/>
    <w:rsid w:val="009679F7"/>
    <w:rsid w:val="00992ACB"/>
    <w:rsid w:val="009E1D9C"/>
    <w:rsid w:val="009F01EA"/>
    <w:rsid w:val="00A17DBA"/>
    <w:rsid w:val="00A85B25"/>
    <w:rsid w:val="00A94F02"/>
    <w:rsid w:val="00AA5379"/>
    <w:rsid w:val="00AA6EA2"/>
    <w:rsid w:val="00AD2AE2"/>
    <w:rsid w:val="00AD5AFE"/>
    <w:rsid w:val="00AE2B5C"/>
    <w:rsid w:val="00AE7CEF"/>
    <w:rsid w:val="00B65F93"/>
    <w:rsid w:val="00B75015"/>
    <w:rsid w:val="00B87449"/>
    <w:rsid w:val="00BE1727"/>
    <w:rsid w:val="00C3060E"/>
    <w:rsid w:val="00C52C5C"/>
    <w:rsid w:val="00C57084"/>
    <w:rsid w:val="00C64C01"/>
    <w:rsid w:val="00C7338C"/>
    <w:rsid w:val="00CF52AB"/>
    <w:rsid w:val="00D559ED"/>
    <w:rsid w:val="00D67A80"/>
    <w:rsid w:val="00D9276A"/>
    <w:rsid w:val="00DA05A6"/>
    <w:rsid w:val="00DD5615"/>
    <w:rsid w:val="00DE77B5"/>
    <w:rsid w:val="00E06AC5"/>
    <w:rsid w:val="00E25812"/>
    <w:rsid w:val="00E37B3D"/>
    <w:rsid w:val="00E71205"/>
    <w:rsid w:val="00E7595A"/>
    <w:rsid w:val="00EA020E"/>
    <w:rsid w:val="00EA695D"/>
    <w:rsid w:val="00EB1D23"/>
    <w:rsid w:val="00EB567A"/>
    <w:rsid w:val="00EC5D15"/>
    <w:rsid w:val="00ED53DA"/>
    <w:rsid w:val="00EF6855"/>
    <w:rsid w:val="00F062C8"/>
    <w:rsid w:val="00F24EF1"/>
    <w:rsid w:val="00F677AC"/>
    <w:rsid w:val="00FA33DA"/>
    <w:rsid w:val="00FC0604"/>
    <w:rsid w:val="00FC6E64"/>
    <w:rsid w:val="00FE7BD0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47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23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83</cp:revision>
  <dcterms:created xsi:type="dcterms:W3CDTF">2022-10-01T13:31:00Z</dcterms:created>
  <dcterms:modified xsi:type="dcterms:W3CDTF">2022-10-01T15:03:00Z</dcterms:modified>
</cp:coreProperties>
</file>