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0B4A5589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1 -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1E1292FF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8976A6">
              <w:rPr>
                <w:sz w:val="24"/>
                <w:szCs w:val="24"/>
              </w:rPr>
              <w:t>Does paper money hold any value?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7229C1C7" w14:textId="13BB1951" w:rsidR="00E25812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B75015">
              <w:rPr>
                <w:b/>
                <w:sz w:val="32"/>
                <w:szCs w:val="32"/>
              </w:rPr>
              <w:t>1</w:t>
            </w:r>
            <w:r w:rsidRPr="005A7068">
              <w:rPr>
                <w:b/>
                <w:sz w:val="32"/>
                <w:szCs w:val="32"/>
              </w:rPr>
              <w:t xml:space="preserve">: </w:t>
            </w:r>
            <w:r w:rsidR="00A17DBA" w:rsidRPr="00A17DBA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the problems society deals with.</w:t>
            </w:r>
            <w:r w:rsidRPr="00DE60DB">
              <w:rPr>
                <w:b/>
                <w:sz w:val="52"/>
                <w:szCs w:val="52"/>
              </w:rPr>
              <w:t xml:space="preserve">   </w:t>
            </w:r>
          </w:p>
          <w:p w14:paraId="46FBE169" w14:textId="4D075193" w:rsidR="00E25812" w:rsidRPr="005A7068" w:rsidRDefault="00B75015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 xml:space="preserve">In this unit you will be analysing the basic economic problem and how society deals </w:t>
            </w:r>
            <w:r w:rsidR="00EA020E">
              <w:t xml:space="preserve">and allocates resources to satisfy societies needs and wants. 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38D8A12F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Economic problem and Opportunity costs</w:t>
            </w:r>
          </w:p>
          <w:p w14:paraId="69AC4A89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Distinguishing between renewable and non-renewable resources</w:t>
            </w:r>
          </w:p>
          <w:p w14:paraId="11B44808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Positive and normative economic statements</w:t>
            </w:r>
          </w:p>
          <w:p w14:paraId="4C3C21B7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Economics as a social science</w:t>
            </w:r>
          </w:p>
          <w:p w14:paraId="39E635E8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Production Possibility Frontier</w:t>
            </w:r>
          </w:p>
          <w:p w14:paraId="4FAEE99C" w14:textId="77777777" w:rsidR="00992ACB" w:rsidRPr="00B75015" w:rsidRDefault="00992ACB" w:rsidP="00992A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Money, </w:t>
            </w:r>
            <w:proofErr w:type="gramStart"/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>trade</w:t>
            </w:r>
            <w:proofErr w:type="gramEnd"/>
            <w:r w:rsidRPr="00B750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specialisation </w:t>
            </w:r>
          </w:p>
          <w:p w14:paraId="06E56C37" w14:textId="77777777" w:rsidR="00E25812" w:rsidRPr="00B75015" w:rsidRDefault="00E25812" w:rsidP="00985AD0">
            <w:pPr>
              <w:pStyle w:val="NoSpacing"/>
            </w:pP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B75015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6A7AC8E6" w14:textId="20EEF8B5" w:rsidR="00E25812" w:rsidRDefault="00E25812" w:rsidP="00985AD0">
            <w:pPr>
              <w:pStyle w:val="NoSpacing"/>
            </w:pPr>
            <w:r>
              <w:t>Us</w:t>
            </w:r>
            <w:r w:rsidR="006918A6">
              <w:t>e the PPF curve to illustrate the concept of opportunity cost</w:t>
            </w:r>
            <w:r w:rsidR="00CF52AB">
              <w:t xml:space="preserve">s and the current state of the economy. </w:t>
            </w:r>
          </w:p>
          <w:p w14:paraId="037A211C" w14:textId="77777777" w:rsidR="00E25812" w:rsidRDefault="00E25812" w:rsidP="00985AD0">
            <w:pPr>
              <w:pStyle w:val="NoSpacing"/>
            </w:pPr>
          </w:p>
          <w:p w14:paraId="7F54E4D1" w14:textId="77777777" w:rsidR="00E25812" w:rsidRDefault="00E25812" w:rsidP="00985AD0">
            <w:pPr>
              <w:pStyle w:val="NoSpacing"/>
            </w:pPr>
          </w:p>
          <w:p w14:paraId="76DB2839" w14:textId="77777777" w:rsidR="00E25812" w:rsidRDefault="00E25812" w:rsidP="00985AD0">
            <w:pPr>
              <w:pStyle w:val="NoSpacing"/>
            </w:pP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487635A5" w14:textId="77777777" w:rsidR="003C4D7F" w:rsidRDefault="003C4D7F" w:rsidP="003C4D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Infinite.</w:t>
            </w:r>
          </w:p>
          <w:p w14:paraId="79F4C39E" w14:textId="77777777" w:rsidR="003C4D7F" w:rsidRDefault="003C4D7F" w:rsidP="003C4D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Scarcity.</w:t>
            </w:r>
          </w:p>
          <w:p w14:paraId="3E018BF2" w14:textId="77777777" w:rsidR="003C4D7F" w:rsidRDefault="003C4D7F" w:rsidP="003C4D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Renewable resources.</w:t>
            </w:r>
          </w:p>
          <w:p w14:paraId="5C628D04" w14:textId="77777777" w:rsidR="003C4D7F" w:rsidRDefault="003C4D7F" w:rsidP="003C4D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Non-renewable resources. </w:t>
            </w:r>
          </w:p>
          <w:p w14:paraId="4BC8C4F1" w14:textId="77777777" w:rsidR="003C4D7F" w:rsidRDefault="003C4D7F" w:rsidP="003C4D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Opportunity cost.</w:t>
            </w:r>
          </w:p>
          <w:p w14:paraId="773DE471" w14:textId="77777777" w:rsidR="00AE2B5C" w:rsidRDefault="00AE2B5C" w:rsidP="00AE2B5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Normative economic statement.</w:t>
            </w:r>
          </w:p>
          <w:p w14:paraId="1C71AB0E" w14:textId="77777777" w:rsidR="00AE2B5C" w:rsidRDefault="00AE2B5C" w:rsidP="00AE2B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Positive economic statement. </w:t>
            </w:r>
          </w:p>
          <w:p w14:paraId="6B0CAFCC" w14:textId="77777777" w:rsidR="00AE2B5C" w:rsidRDefault="00AE2B5C" w:rsidP="00AE2B5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PPF.</w:t>
            </w:r>
          </w:p>
          <w:p w14:paraId="60C11114" w14:textId="77777777" w:rsidR="00AE2B5C" w:rsidRDefault="00AE2B5C" w:rsidP="00AE2B5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Capital goods.</w:t>
            </w:r>
          </w:p>
          <w:p w14:paraId="7038405E" w14:textId="6BAC0F18" w:rsidR="003C4D7F" w:rsidRDefault="00AE2B5C" w:rsidP="00EB1D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Consumer goods</w:t>
            </w:r>
          </w:p>
          <w:p w14:paraId="1CBBD234" w14:textId="77777777" w:rsidR="00E25812" w:rsidRPr="0081525C" w:rsidRDefault="00E25812" w:rsidP="00985AD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04420B60" w14:textId="16AFDD0A" w:rsidR="00E25812" w:rsidRDefault="000C328B" w:rsidP="00985AD0">
            <w:pPr>
              <w:pStyle w:val="NoSpacing"/>
            </w:pPr>
            <w:r>
              <w:t xml:space="preserve">Why don’t we </w:t>
            </w:r>
            <w:proofErr w:type="gramStart"/>
            <w:r>
              <w:t>refer back</w:t>
            </w:r>
            <w:proofErr w:type="gramEnd"/>
            <w:r>
              <w:t xml:space="preserve"> to the gold standard </w:t>
            </w:r>
            <w:r w:rsidR="0019433A">
              <w:t>–</w:t>
            </w:r>
            <w:r>
              <w:t xml:space="preserve"> </w:t>
            </w:r>
            <w:r w:rsidR="0019433A">
              <w:t>money supply being backed up by the gold we have in the BOE?</w:t>
            </w:r>
          </w:p>
          <w:p w14:paraId="74BB0C95" w14:textId="77777777" w:rsidR="00E25812" w:rsidRDefault="00E25812" w:rsidP="00985AD0">
            <w:pPr>
              <w:pStyle w:val="NoSpacing"/>
            </w:pPr>
          </w:p>
        </w:tc>
      </w:tr>
    </w:tbl>
    <w:p w14:paraId="4DDD199D" w14:textId="65735D67" w:rsidR="00AD2AE2" w:rsidRDefault="00AD2AE2"/>
    <w:p w14:paraId="15D32E82" w14:textId="61ABEEE4" w:rsidR="00E25812" w:rsidRDefault="00E25812"/>
    <w:p w14:paraId="1BF88D7A" w14:textId="29584355" w:rsidR="00E25812" w:rsidRDefault="00E25812"/>
    <w:p w14:paraId="3A1BEEB1" w14:textId="5CA0DBD5" w:rsidR="00E25812" w:rsidRDefault="00E25812"/>
    <w:p w14:paraId="221E6AEC" w14:textId="03F8B2D5" w:rsidR="00E25812" w:rsidRDefault="00E25812"/>
    <w:tbl>
      <w:tblPr>
        <w:tblpPr w:leftFromText="180" w:rightFromText="180" w:vertAnchor="page" w:horzAnchor="margin" w:tblpXSpec="center" w:tblpY="66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630"/>
        <w:gridCol w:w="1987"/>
        <w:gridCol w:w="1519"/>
        <w:gridCol w:w="1753"/>
        <w:gridCol w:w="1899"/>
        <w:gridCol w:w="2339"/>
      </w:tblGrid>
      <w:tr w:rsidR="00E25812" w14:paraId="0C3A7F3B" w14:textId="77777777" w:rsidTr="00985AD0">
        <w:trPr>
          <w:trHeight w:val="265"/>
        </w:trPr>
        <w:tc>
          <w:tcPr>
            <w:tcW w:w="3033" w:type="dxa"/>
            <w:shd w:val="clear" w:color="auto" w:fill="E2EFD9" w:themeFill="accent6" w:themeFillTint="33"/>
          </w:tcPr>
          <w:p w14:paraId="0D4E2C41" w14:textId="17C644C8" w:rsidR="00E25812" w:rsidRPr="0085339F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5339F">
              <w:rPr>
                <w:b/>
                <w:bCs/>
                <w:sz w:val="24"/>
                <w:szCs w:val="24"/>
              </w:rPr>
              <w:lastRenderedPageBreak/>
              <w:t>Year 1</w:t>
            </w:r>
            <w:r w:rsidR="0019433A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Term 1 - Economics</w:t>
            </w:r>
          </w:p>
        </w:tc>
        <w:tc>
          <w:tcPr>
            <w:tcW w:w="12127" w:type="dxa"/>
            <w:gridSpan w:val="6"/>
            <w:shd w:val="clear" w:color="auto" w:fill="E2EFD9" w:themeFill="accent6" w:themeFillTint="33"/>
          </w:tcPr>
          <w:p w14:paraId="0B046B85" w14:textId="77777777" w:rsidR="00E25812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Our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mission is to stimulate and challenge our students to excel and provide a desire for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lifelong learning and pursue careers in the world of Business, </w:t>
            </w:r>
            <w:proofErr w:type="gramStart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</w:t>
            </w:r>
          </w:p>
          <w:p w14:paraId="439D7FBE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</w:tc>
      </w:tr>
      <w:tr w:rsidR="00E25812" w14:paraId="3203F4BA" w14:textId="77777777" w:rsidTr="00985AD0">
        <w:trPr>
          <w:trHeight w:val="354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3B2FC0CB" w14:textId="77656E14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BE1727">
              <w:rPr>
                <w:sz w:val="24"/>
                <w:szCs w:val="24"/>
              </w:rPr>
              <w:t>How can relationships</w:t>
            </w:r>
            <w:r w:rsidR="001C49E8">
              <w:rPr>
                <w:sz w:val="24"/>
                <w:szCs w:val="24"/>
              </w:rPr>
              <w:t xml:space="preserve"> between </w:t>
            </w:r>
            <w:r w:rsidR="002218F4">
              <w:rPr>
                <w:sz w:val="24"/>
                <w:szCs w:val="24"/>
              </w:rPr>
              <w:t>stakeholders</w:t>
            </w:r>
            <w:r w:rsidR="00BE1727">
              <w:rPr>
                <w:sz w:val="24"/>
                <w:szCs w:val="24"/>
              </w:rPr>
              <w:t xml:space="preserve"> maintain after a merger or an acquisition.</w:t>
            </w:r>
          </w:p>
        </w:tc>
      </w:tr>
      <w:tr w:rsidR="00E25812" w14:paraId="312E09E9" w14:textId="77777777" w:rsidTr="00985AD0">
        <w:trPr>
          <w:trHeight w:val="815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5CD05A43" w14:textId="612F0578" w:rsidR="00E25812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19433A">
              <w:rPr>
                <w:b/>
                <w:sz w:val="32"/>
                <w:szCs w:val="32"/>
              </w:rPr>
              <w:t>3</w:t>
            </w:r>
            <w:r w:rsidRPr="005A7068">
              <w:rPr>
                <w:b/>
                <w:sz w:val="32"/>
                <w:szCs w:val="32"/>
              </w:rPr>
              <w:t>:</w:t>
            </w:r>
            <w:r w:rsidR="00745B68">
              <w:rPr>
                <w:b/>
                <w:sz w:val="32"/>
                <w:szCs w:val="32"/>
              </w:rPr>
              <w:t xml:space="preserve"> </w:t>
            </w:r>
            <w:r w:rsidR="00745B68" w:rsidRPr="00745B68">
              <w:rPr>
                <w:rFonts w:cs="Calibri"/>
                <w:b/>
                <w:bCs/>
                <w:color w:val="000000"/>
                <w:sz w:val="32"/>
                <w:szCs w:val="32"/>
              </w:rPr>
              <w:t>To analyse the various ways a business could grow.</w:t>
            </w:r>
          </w:p>
          <w:p w14:paraId="40239C40" w14:textId="3CC64565" w:rsidR="00E25812" w:rsidRPr="005A7068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>In this unit you are</w:t>
            </w:r>
            <w:r w:rsidR="00C57084">
              <w:t xml:space="preserve"> going to investigate how firms could grow and benefit from economies of scale.  You are also going to analyse the impact of businesses growth </w:t>
            </w:r>
            <w:r w:rsidR="007D6DC8">
              <w:t xml:space="preserve">on the relationships of different stakeholders. </w:t>
            </w:r>
          </w:p>
        </w:tc>
      </w:tr>
      <w:tr w:rsidR="00E25812" w14:paraId="6C69B860" w14:textId="77777777" w:rsidTr="007D6DC8">
        <w:trPr>
          <w:trHeight w:val="529"/>
        </w:trPr>
        <w:tc>
          <w:tcPr>
            <w:tcW w:w="3033" w:type="dxa"/>
            <w:shd w:val="clear" w:color="auto" w:fill="auto"/>
          </w:tcPr>
          <w:p w14:paraId="4E3EEE22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F427AEC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630" w:type="dxa"/>
            <w:shd w:val="clear" w:color="auto" w:fill="auto"/>
          </w:tcPr>
          <w:p w14:paraId="14729125" w14:textId="77777777" w:rsidR="00E25812" w:rsidRPr="00E34905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    s</w:t>
            </w:r>
            <w:r>
              <w:t>tudents will be able to…</w:t>
            </w:r>
          </w:p>
        </w:tc>
        <w:tc>
          <w:tcPr>
            <w:tcW w:w="1987" w:type="dxa"/>
            <w:shd w:val="clear" w:color="auto" w:fill="auto"/>
          </w:tcPr>
          <w:p w14:paraId="0A36F10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  <w:p w14:paraId="78C8DF3F" w14:textId="77777777" w:rsidR="00E25812" w:rsidRPr="002E48EE" w:rsidRDefault="00E25812" w:rsidP="00985AD0">
            <w:pPr>
              <w:pStyle w:val="NoSpacing"/>
              <w:rPr>
                <w:b/>
                <w:bCs/>
                <w:i/>
              </w:rPr>
            </w:pPr>
          </w:p>
        </w:tc>
        <w:tc>
          <w:tcPr>
            <w:tcW w:w="1519" w:type="dxa"/>
            <w:shd w:val="clear" w:color="auto" w:fill="auto"/>
          </w:tcPr>
          <w:p w14:paraId="4D2967F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53" w:type="dxa"/>
            <w:shd w:val="clear" w:color="auto" w:fill="auto"/>
          </w:tcPr>
          <w:p w14:paraId="4885BD0E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1899" w:type="dxa"/>
            <w:shd w:val="clear" w:color="auto" w:fill="auto"/>
          </w:tcPr>
          <w:p w14:paraId="4DB28B8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559F2117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339" w:type="dxa"/>
            <w:shd w:val="clear" w:color="auto" w:fill="auto"/>
          </w:tcPr>
          <w:p w14:paraId="54C55CE6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3289D2D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5564B7F5" w14:textId="77777777" w:rsidTr="007D6DC8">
        <w:trPr>
          <w:trHeight w:val="6011"/>
        </w:trPr>
        <w:tc>
          <w:tcPr>
            <w:tcW w:w="3033" w:type="dxa"/>
            <w:shd w:val="clear" w:color="auto" w:fill="auto"/>
          </w:tcPr>
          <w:p w14:paraId="2855090F" w14:textId="77777777" w:rsidR="00D67A80" w:rsidRPr="00D67A80" w:rsidRDefault="00D67A80" w:rsidP="00D67A8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A80">
              <w:rPr>
                <w:rFonts w:ascii="Calibri" w:hAnsi="Calibri" w:cs="Calibri"/>
                <w:color w:val="000000"/>
                <w:sz w:val="22"/>
                <w:szCs w:val="22"/>
              </w:rPr>
              <w:t>Objectives and Firm birth</w:t>
            </w:r>
          </w:p>
          <w:p w14:paraId="61494E2D" w14:textId="77777777" w:rsidR="00D67A80" w:rsidRPr="00D67A80" w:rsidRDefault="00D67A80" w:rsidP="00D67A8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A80">
              <w:rPr>
                <w:rFonts w:ascii="Calibri" w:hAnsi="Calibri" w:cs="Calibri"/>
                <w:color w:val="000000"/>
                <w:sz w:val="22"/>
                <w:szCs w:val="22"/>
              </w:rPr>
              <w:t>Growths of firms</w:t>
            </w:r>
          </w:p>
          <w:p w14:paraId="54490A5C" w14:textId="77777777" w:rsidR="00D67A80" w:rsidRPr="00D67A80" w:rsidRDefault="00D67A80" w:rsidP="00D67A8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A80">
              <w:rPr>
                <w:rFonts w:ascii="Calibri" w:hAnsi="Calibri" w:cs="Calibri"/>
                <w:color w:val="000000"/>
                <w:sz w:val="22"/>
                <w:szCs w:val="22"/>
              </w:rPr>
              <w:t>Mergers and acquisitions </w:t>
            </w:r>
          </w:p>
          <w:p w14:paraId="111F487C" w14:textId="77777777" w:rsidR="00D67A80" w:rsidRPr="00D67A80" w:rsidRDefault="00D67A80" w:rsidP="00D67A8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A80">
              <w:rPr>
                <w:rFonts w:ascii="Calibri" w:hAnsi="Calibri" w:cs="Calibri"/>
                <w:color w:val="000000"/>
                <w:sz w:val="22"/>
                <w:szCs w:val="22"/>
              </w:rPr>
              <w:t>Demergers and small companies</w:t>
            </w:r>
          </w:p>
          <w:p w14:paraId="782C8773" w14:textId="77777777" w:rsidR="00D67A80" w:rsidRPr="00D67A80" w:rsidRDefault="00D67A80" w:rsidP="00D67A8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A80">
              <w:rPr>
                <w:rFonts w:ascii="Calibri" w:hAnsi="Calibri" w:cs="Calibri"/>
                <w:color w:val="000000"/>
                <w:sz w:val="22"/>
                <w:szCs w:val="22"/>
              </w:rPr>
              <w:t>Economies of scale</w:t>
            </w:r>
          </w:p>
          <w:p w14:paraId="18F9850E" w14:textId="77777777" w:rsidR="00E25812" w:rsidRDefault="00E25812" w:rsidP="00985AD0">
            <w:pPr>
              <w:pStyle w:val="NoSpacing"/>
            </w:pPr>
          </w:p>
          <w:p w14:paraId="37721FBC" w14:textId="77777777" w:rsidR="00E25812" w:rsidRDefault="00E25812" w:rsidP="00985AD0">
            <w:pPr>
              <w:pStyle w:val="NoSpacing"/>
            </w:pPr>
            <w: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0384B3C" w14:textId="044B6AEE" w:rsidR="00E25812" w:rsidRDefault="002218F4" w:rsidP="00985AD0">
            <w:pPr>
              <w:pStyle w:val="NoSpacing"/>
            </w:pPr>
            <w:r>
              <w:t xml:space="preserve">Illustrate the impact of </w:t>
            </w:r>
            <w:r w:rsidR="009679F7">
              <w:t xml:space="preserve">over production for a firm if it decides to produce beyond its minimum efficient point. </w:t>
            </w:r>
          </w:p>
          <w:p w14:paraId="7AAB11C3" w14:textId="77777777" w:rsidR="00E25812" w:rsidRDefault="00E25812" w:rsidP="00985AD0">
            <w:pPr>
              <w:pStyle w:val="NoSpacing"/>
            </w:pPr>
          </w:p>
          <w:p w14:paraId="0FD5654C" w14:textId="77777777" w:rsidR="00E25812" w:rsidRDefault="00E25812" w:rsidP="00985AD0">
            <w:pPr>
              <w:pStyle w:val="NoSpacing"/>
            </w:pPr>
          </w:p>
          <w:p w14:paraId="089BC70A" w14:textId="77777777" w:rsidR="00E25812" w:rsidRDefault="00E25812" w:rsidP="00985AD0">
            <w:pPr>
              <w:pStyle w:val="NoSpacing"/>
            </w:pPr>
          </w:p>
          <w:p w14:paraId="5B2F8779" w14:textId="77777777" w:rsidR="00E25812" w:rsidRDefault="00E25812" w:rsidP="00985AD0">
            <w:pPr>
              <w:pStyle w:val="NoSpacing"/>
            </w:pPr>
          </w:p>
        </w:tc>
        <w:tc>
          <w:tcPr>
            <w:tcW w:w="1987" w:type="dxa"/>
            <w:shd w:val="clear" w:color="auto" w:fill="auto"/>
          </w:tcPr>
          <w:p w14:paraId="504D0A20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Profit maximisation.</w:t>
            </w:r>
          </w:p>
          <w:p w14:paraId="368A3CC0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Revenue maximisation.</w:t>
            </w:r>
          </w:p>
          <w:p w14:paraId="70496465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Sales maximisation.</w:t>
            </w:r>
          </w:p>
          <w:p w14:paraId="4A9D5DF1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Satisficing.</w:t>
            </w:r>
          </w:p>
          <w:p w14:paraId="1229CC15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 sector.</w:t>
            </w:r>
          </w:p>
          <w:p w14:paraId="6886F9D3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 sector.</w:t>
            </w:r>
          </w:p>
          <w:p w14:paraId="2DA06686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Organic growth.</w:t>
            </w:r>
          </w:p>
          <w:p w14:paraId="7D89DC1B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Forward vertical integration.</w:t>
            </w:r>
          </w:p>
          <w:p w14:paraId="2CCDE5EB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Backwards vertical integration.</w:t>
            </w:r>
          </w:p>
          <w:p w14:paraId="71FA2C07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Horizontal integration.</w:t>
            </w:r>
          </w:p>
          <w:p w14:paraId="25780992" w14:textId="77777777" w:rsidR="0021786C" w:rsidRDefault="0021786C" w:rsidP="0021786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Conglomerate integration.</w:t>
            </w:r>
          </w:p>
          <w:p w14:paraId="70A7775F" w14:textId="7F6CB2CD" w:rsidR="007D6DC8" w:rsidRPr="007D6DC8" w:rsidRDefault="0021786C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Regulation</w:t>
            </w:r>
            <w:r w:rsidR="007D6DC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639B5E29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5A784567" w14:textId="77777777" w:rsidR="00E25812" w:rsidRDefault="00E25812" w:rsidP="00985AD0">
            <w:pPr>
              <w:pStyle w:val="NoSpacing"/>
            </w:pPr>
          </w:p>
          <w:p w14:paraId="530B5995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757888CF" w14:textId="77777777" w:rsidR="00E25812" w:rsidRDefault="00E25812" w:rsidP="00985AD0">
            <w:pPr>
              <w:pStyle w:val="NoSpacing"/>
            </w:pPr>
          </w:p>
          <w:p w14:paraId="2C256BAE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32A0BD11" w14:textId="77777777" w:rsidR="00E25812" w:rsidRDefault="00E25812" w:rsidP="00985AD0">
            <w:pPr>
              <w:pStyle w:val="NoSpacing"/>
            </w:pPr>
          </w:p>
          <w:p w14:paraId="5B81FA42" w14:textId="77777777" w:rsidR="00E25812" w:rsidRDefault="00E25812" w:rsidP="00985AD0">
            <w:pPr>
              <w:pStyle w:val="NoSpacing"/>
            </w:pPr>
          </w:p>
        </w:tc>
        <w:tc>
          <w:tcPr>
            <w:tcW w:w="1753" w:type="dxa"/>
            <w:shd w:val="clear" w:color="auto" w:fill="auto"/>
          </w:tcPr>
          <w:p w14:paraId="246AA1F3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29D3B74D" w14:textId="77777777" w:rsidR="00E25812" w:rsidRDefault="00E25812" w:rsidP="00985AD0">
            <w:pPr>
              <w:pStyle w:val="NoSpacing"/>
            </w:pPr>
          </w:p>
          <w:p w14:paraId="3A2BDE83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99" w:type="dxa"/>
            <w:shd w:val="clear" w:color="auto" w:fill="auto"/>
          </w:tcPr>
          <w:p w14:paraId="400423C1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79DC669F" w14:textId="77777777" w:rsidR="00E25812" w:rsidRDefault="00E25812" w:rsidP="00985AD0">
            <w:pPr>
              <w:pStyle w:val="NoSpacing"/>
            </w:pPr>
          </w:p>
          <w:p w14:paraId="1759D4DB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6C478908" w14:textId="77777777" w:rsidR="00E25812" w:rsidRDefault="00E25812" w:rsidP="00985AD0">
            <w:pPr>
              <w:pStyle w:val="NoSpacing"/>
            </w:pPr>
          </w:p>
          <w:p w14:paraId="0F60EFF2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339" w:type="dxa"/>
            <w:shd w:val="clear" w:color="auto" w:fill="auto"/>
          </w:tcPr>
          <w:p w14:paraId="14E1CA18" w14:textId="4974ED28" w:rsidR="00E25812" w:rsidRDefault="00EF6855" w:rsidP="00985AD0">
            <w:pPr>
              <w:pStyle w:val="NoSpacing"/>
            </w:pPr>
            <w:r>
              <w:t xml:space="preserve">What are the impact on consumers if there is less competition amongst firms due to mergers and </w:t>
            </w:r>
            <w:r w:rsidR="002F4DC4">
              <w:t xml:space="preserve">acquisitions? </w:t>
            </w:r>
          </w:p>
          <w:p w14:paraId="3512B085" w14:textId="77777777" w:rsidR="00E25812" w:rsidRDefault="00E25812" w:rsidP="00985AD0">
            <w:pPr>
              <w:pStyle w:val="NoSpacing"/>
            </w:pPr>
          </w:p>
          <w:p w14:paraId="290AA1D4" w14:textId="77777777" w:rsidR="00E25812" w:rsidRDefault="00E25812" w:rsidP="00985AD0">
            <w:pPr>
              <w:pStyle w:val="NoSpacing"/>
            </w:pPr>
            <w:proofErr w:type="spellStart"/>
            <w:r>
              <w:t>Freaknomics</w:t>
            </w:r>
            <w:proofErr w:type="spellEnd"/>
          </w:p>
          <w:p w14:paraId="17EF0EBF" w14:textId="77777777" w:rsidR="00E25812" w:rsidRDefault="00E25812" w:rsidP="00985AD0">
            <w:pPr>
              <w:pStyle w:val="NoSpacing"/>
            </w:pPr>
          </w:p>
          <w:p w14:paraId="491568DD" w14:textId="77777777" w:rsidR="00E25812" w:rsidRDefault="00E25812" w:rsidP="00985AD0">
            <w:pPr>
              <w:pStyle w:val="NoSpacing"/>
            </w:pPr>
          </w:p>
        </w:tc>
      </w:tr>
    </w:tbl>
    <w:p w14:paraId="2CC62121" w14:textId="47F1BF16" w:rsidR="00E25812" w:rsidRDefault="00E2581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1"/>
  </w:num>
  <w:num w:numId="2" w16cid:durableId="7316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B27A8"/>
    <w:rsid w:val="000C328B"/>
    <w:rsid w:val="0019433A"/>
    <w:rsid w:val="001C49E8"/>
    <w:rsid w:val="0021786C"/>
    <w:rsid w:val="002218F4"/>
    <w:rsid w:val="002F4DC4"/>
    <w:rsid w:val="00357352"/>
    <w:rsid w:val="003C4D7F"/>
    <w:rsid w:val="00511573"/>
    <w:rsid w:val="006918A6"/>
    <w:rsid w:val="00745B68"/>
    <w:rsid w:val="007D6DC8"/>
    <w:rsid w:val="008976A6"/>
    <w:rsid w:val="009679F7"/>
    <w:rsid w:val="00992ACB"/>
    <w:rsid w:val="00A17DBA"/>
    <w:rsid w:val="00AD2AE2"/>
    <w:rsid w:val="00AE2B5C"/>
    <w:rsid w:val="00B75015"/>
    <w:rsid w:val="00BE1727"/>
    <w:rsid w:val="00C57084"/>
    <w:rsid w:val="00C7338C"/>
    <w:rsid w:val="00CF52AB"/>
    <w:rsid w:val="00D67A80"/>
    <w:rsid w:val="00E25812"/>
    <w:rsid w:val="00E7595A"/>
    <w:rsid w:val="00EA020E"/>
    <w:rsid w:val="00EB1D23"/>
    <w:rsid w:val="00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27</cp:revision>
  <dcterms:created xsi:type="dcterms:W3CDTF">2022-10-01T13:10:00Z</dcterms:created>
  <dcterms:modified xsi:type="dcterms:W3CDTF">2022-10-01T13:30:00Z</dcterms:modified>
</cp:coreProperties>
</file>