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2551"/>
        <w:gridCol w:w="3119"/>
        <w:gridCol w:w="2268"/>
        <w:gridCol w:w="1701"/>
      </w:tblGrid>
      <w:tr w:rsidR="000354B5" w14:paraId="7B5ECE88" w14:textId="77777777" w:rsidTr="003A23E1">
        <w:tc>
          <w:tcPr>
            <w:tcW w:w="1809" w:type="dxa"/>
            <w:shd w:val="clear" w:color="auto" w:fill="auto"/>
          </w:tcPr>
          <w:p w14:paraId="7BDA3CB2" w14:textId="3E044202" w:rsidR="000354B5" w:rsidRPr="00FF68F5" w:rsidRDefault="00DE0DC5" w:rsidP="00042E36">
            <w:pPr>
              <w:pStyle w:val="NoSpacing"/>
            </w:pPr>
            <w:r>
              <w:t xml:space="preserve">Year </w:t>
            </w:r>
            <w:r w:rsidR="00972CD2">
              <w:t>10</w:t>
            </w:r>
            <w:r>
              <w:t xml:space="preserve"> - Music</w:t>
            </w:r>
          </w:p>
        </w:tc>
        <w:tc>
          <w:tcPr>
            <w:tcW w:w="1290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05E14AAA" w:rsidR="000354B5" w:rsidRPr="00972CD2" w:rsidRDefault="000354B5" w:rsidP="00042E36">
            <w:pPr>
              <w:pStyle w:val="NoSpacing"/>
              <w:rPr>
                <w:b/>
              </w:rPr>
            </w:pPr>
            <w:r w:rsidRPr="00972CD2">
              <w:rPr>
                <w:b/>
                <w:sz w:val="44"/>
              </w:rPr>
              <w:t>Enquiry Question:</w:t>
            </w:r>
            <w:r w:rsidRPr="00972CD2">
              <w:rPr>
                <w:b/>
                <w:sz w:val="28"/>
                <w:szCs w:val="28"/>
              </w:rPr>
              <w:t xml:space="preserve"> </w:t>
            </w:r>
            <w:r w:rsidR="00972CD2" w:rsidRPr="00972CD2">
              <w:rPr>
                <w:b/>
                <w:sz w:val="28"/>
                <w:szCs w:val="28"/>
              </w:rPr>
              <w:t>What is the process of learning a song?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471723E3" w:rsidR="000354B5" w:rsidRPr="0016476C" w:rsidRDefault="000354B5" w:rsidP="00D02B0E">
            <w:pPr>
              <w:pStyle w:val="NoSpacing"/>
              <w:rPr>
                <w:b/>
                <w:sz w:val="28"/>
                <w:szCs w:val="28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972CD2">
              <w:rPr>
                <w:bCs/>
                <w:sz w:val="28"/>
                <w:szCs w:val="28"/>
              </w:rPr>
              <w:t>Going Solo</w:t>
            </w:r>
          </w:p>
          <w:p w14:paraId="0B172316" w14:textId="352E5B8F" w:rsidR="003A23E1" w:rsidRDefault="000354B5" w:rsidP="00F173C9">
            <w:pPr>
              <w:pStyle w:val="NoSpacing"/>
              <w:rPr>
                <w:rFonts w:eastAsia="Arial Unicode MS"/>
                <w:sz w:val="28"/>
                <w:szCs w:val="28"/>
              </w:rPr>
            </w:pPr>
            <w:r>
              <w:t xml:space="preserve">Why now?  </w:t>
            </w:r>
            <w:r w:rsidR="00F173C9">
              <w:rPr>
                <w:sz w:val="28"/>
                <w:szCs w:val="28"/>
              </w:rPr>
              <w:t xml:space="preserve">Leading up to recording performance piece leading onto G.C.S.E coursework completion. Students need to develop their process of </w:t>
            </w:r>
            <w:r w:rsidR="003A23E1">
              <w:rPr>
                <w:sz w:val="28"/>
                <w:szCs w:val="28"/>
              </w:rPr>
              <w:t>learn</w:t>
            </w:r>
            <w:r w:rsidR="00F173C9">
              <w:rPr>
                <w:sz w:val="28"/>
                <w:szCs w:val="28"/>
              </w:rPr>
              <w:t>ing</w:t>
            </w:r>
            <w:r w:rsidR="003A23E1">
              <w:rPr>
                <w:sz w:val="28"/>
                <w:szCs w:val="28"/>
              </w:rPr>
              <w:t xml:space="preserve"> to play chosen songs using resources such as the internet as well as a performance diary/notebook and developing/improving the performance over a given time frame. </w:t>
            </w:r>
          </w:p>
          <w:p w14:paraId="5BC8A28B" w14:textId="11A9ABC2" w:rsidR="00DF4BF4" w:rsidRDefault="00DF4BF4" w:rsidP="00DF4BF4">
            <w:pPr>
              <w:pStyle w:val="NoSpacing"/>
              <w:rPr>
                <w:sz w:val="28"/>
              </w:rPr>
            </w:pP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14:paraId="4F042374" w14:textId="77777777" w:rsidTr="0078077D">
        <w:tc>
          <w:tcPr>
            <w:tcW w:w="1809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1843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418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551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3119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268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701" w:type="dxa"/>
            <w:shd w:val="clear" w:color="auto" w:fill="auto"/>
          </w:tcPr>
          <w:p w14:paraId="42C77D6F" w14:textId="77777777" w:rsidR="000354B5" w:rsidRPr="0078077D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  <w:r w:rsidRPr="0078077D">
              <w:rPr>
                <w:rFonts w:asciiTheme="minorHAnsi" w:hAnsiTheme="minorHAnsi" w:cstheme="minorHAnsi"/>
              </w:rPr>
              <w:t>Cultural Capital</w:t>
            </w:r>
          </w:p>
          <w:p w14:paraId="7A23EB3B" w14:textId="77777777" w:rsidR="000354B5" w:rsidRPr="0078077D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354B5" w14:paraId="16F9AA10" w14:textId="77777777" w:rsidTr="0078077D">
        <w:trPr>
          <w:trHeight w:val="3010"/>
        </w:trPr>
        <w:tc>
          <w:tcPr>
            <w:tcW w:w="1809" w:type="dxa"/>
            <w:shd w:val="clear" w:color="auto" w:fill="auto"/>
          </w:tcPr>
          <w:p w14:paraId="28D051B7" w14:textId="77777777" w:rsidR="003A23E1" w:rsidRDefault="003A23E1" w:rsidP="003A23E1">
            <w:pPr>
              <w:pStyle w:val="NoSpacing"/>
              <w:rPr>
                <w:rFonts w:eastAsia="Arial Unicode MS"/>
              </w:rPr>
            </w:pPr>
            <w:r>
              <w:t>Using the keyboards and guitars to play chords and melodies</w:t>
            </w:r>
          </w:p>
          <w:p w14:paraId="5ADB96EC" w14:textId="77777777" w:rsidR="003A23E1" w:rsidRDefault="003A23E1" w:rsidP="003A23E1">
            <w:pPr>
              <w:pStyle w:val="NoSpacing"/>
            </w:pPr>
          </w:p>
          <w:p w14:paraId="3539B37A" w14:textId="77777777" w:rsidR="003A23E1" w:rsidRDefault="003A23E1" w:rsidP="003A23E1">
            <w:pPr>
              <w:pStyle w:val="NoSpacing"/>
            </w:pPr>
            <w:r>
              <w:t xml:space="preserve">Vocals being an instrument </w:t>
            </w:r>
          </w:p>
          <w:p w14:paraId="01A71DB3" w14:textId="77777777" w:rsidR="003A23E1" w:rsidRDefault="003A23E1" w:rsidP="003A23E1">
            <w:pPr>
              <w:pStyle w:val="NoSpacing"/>
            </w:pPr>
          </w:p>
          <w:p w14:paraId="032B0F5B" w14:textId="77777777" w:rsidR="003A23E1" w:rsidRDefault="003A23E1" w:rsidP="003A23E1">
            <w:pPr>
              <w:pStyle w:val="NoSpacing"/>
            </w:pPr>
            <w:r>
              <w:t>Understanding musical notation, guitar tab and chord charts</w:t>
            </w:r>
          </w:p>
          <w:p w14:paraId="5798D578" w14:textId="5031FD54" w:rsidR="00D02B0E" w:rsidRDefault="00D02B0E" w:rsidP="00CD7418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10F2F814" w14:textId="77777777" w:rsidR="003A23E1" w:rsidRDefault="003A23E1" w:rsidP="003A23E1">
            <w:pPr>
              <w:pStyle w:val="NoSpacing"/>
              <w:rPr>
                <w:rFonts w:eastAsia="Arial Unicode MS"/>
              </w:rPr>
            </w:pPr>
            <w:r>
              <w:t>Choose a performance piece to record/perform</w:t>
            </w:r>
          </w:p>
          <w:p w14:paraId="5423C772" w14:textId="77777777" w:rsidR="003A23E1" w:rsidRDefault="003A23E1" w:rsidP="003A23E1">
            <w:pPr>
              <w:pStyle w:val="NoSpacing"/>
            </w:pPr>
          </w:p>
          <w:p w14:paraId="07991874" w14:textId="7BA73262" w:rsidR="00FC26CE" w:rsidRDefault="003A23E1" w:rsidP="003A23E1">
            <w:pPr>
              <w:pStyle w:val="NoSpacing"/>
              <w:rPr>
                <w:rFonts w:cs="Arial"/>
                <w:bCs/>
                <w:sz w:val="20"/>
                <w:szCs w:val="20"/>
              </w:rPr>
            </w:pPr>
            <w:r>
              <w:t>Use the internet to select a song and research notation, chord charts, tab or lyrics</w:t>
            </w:r>
          </w:p>
          <w:p w14:paraId="198C5C2A" w14:textId="2A39D47A" w:rsidR="00FC26CE" w:rsidRPr="004017E1" w:rsidRDefault="00FC26CE" w:rsidP="009A5837">
            <w:pPr>
              <w:pStyle w:val="NoSpacing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CC215E" w14:textId="77777777" w:rsidR="0027693E" w:rsidRDefault="0027693E" w:rsidP="003A23E1">
            <w:pPr>
              <w:pStyle w:val="NoSpacing"/>
            </w:pPr>
            <w:r>
              <w:t>Practice</w:t>
            </w:r>
          </w:p>
          <w:p w14:paraId="4826BCCA" w14:textId="77777777" w:rsidR="0027693E" w:rsidRDefault="0027693E" w:rsidP="003A23E1">
            <w:pPr>
              <w:pStyle w:val="NoSpacing"/>
            </w:pPr>
            <w:r>
              <w:t>Skill</w:t>
            </w:r>
          </w:p>
          <w:p w14:paraId="799676F9" w14:textId="7442F7BB" w:rsidR="003A23E1" w:rsidRDefault="003A23E1" w:rsidP="003A23E1">
            <w:pPr>
              <w:pStyle w:val="NoSpacing"/>
              <w:rPr>
                <w:rFonts w:eastAsia="Arial Unicode MS"/>
              </w:rPr>
            </w:pPr>
            <w:r>
              <w:t>Improve</w:t>
            </w:r>
            <w:r>
              <w:br/>
              <w:t>Develop</w:t>
            </w:r>
            <w:r>
              <w:br/>
              <w:t>Build</w:t>
            </w:r>
            <w:r>
              <w:br/>
              <w:t>Share</w:t>
            </w:r>
            <w:r>
              <w:br/>
              <w:t>Connect</w:t>
            </w:r>
          </w:p>
          <w:p w14:paraId="6AB9EE5D" w14:textId="586CA5CD" w:rsidR="00784498" w:rsidRPr="00A031FB" w:rsidRDefault="00784498" w:rsidP="00D02B0E">
            <w:pPr>
              <w:pStyle w:val="NoSpacing"/>
            </w:pPr>
          </w:p>
        </w:tc>
        <w:tc>
          <w:tcPr>
            <w:tcW w:w="2551" w:type="dxa"/>
            <w:shd w:val="clear" w:color="auto" w:fill="auto"/>
          </w:tcPr>
          <w:p w14:paraId="710638A0" w14:textId="0E129DFA" w:rsidR="003A23E1" w:rsidRDefault="003A23E1" w:rsidP="003A23E1">
            <w:pPr>
              <w:pStyle w:val="NoSpacing"/>
            </w:pPr>
            <w:r>
              <w:t xml:space="preserve">Using the practice rooms at break, lunch and after school to practice individual parts and to work on putting parts together </w:t>
            </w:r>
          </w:p>
          <w:p w14:paraId="7B4345A6" w14:textId="77777777" w:rsidR="003A23E1" w:rsidRDefault="003A23E1" w:rsidP="003A23E1">
            <w:pPr>
              <w:pStyle w:val="NoSpacing"/>
              <w:rPr>
                <w:rFonts w:eastAsia="Arial Unicode MS"/>
              </w:rPr>
            </w:pPr>
          </w:p>
          <w:p w14:paraId="49634000" w14:textId="16B73901" w:rsidR="000354B5" w:rsidRDefault="003A23E1" w:rsidP="003A23E1">
            <w:pPr>
              <w:pStyle w:val="NoSpacing"/>
            </w:pPr>
            <w:r>
              <w:t>Listening to the song to identify/research the technique, style and fluency in their chosen song to further develop the chosen piece</w:t>
            </w:r>
          </w:p>
        </w:tc>
        <w:tc>
          <w:tcPr>
            <w:tcW w:w="3119" w:type="dxa"/>
            <w:shd w:val="clear" w:color="auto" w:fill="auto"/>
          </w:tcPr>
          <w:p w14:paraId="7BFED3D7" w14:textId="1A858D50" w:rsidR="003A23E1" w:rsidRDefault="003A23E1" w:rsidP="003A23E1">
            <w:pPr>
              <w:pStyle w:val="NoSpacing"/>
            </w:pPr>
            <w:r>
              <w:t>Peer and teacher feedback during practice/rehearsals</w:t>
            </w:r>
          </w:p>
          <w:p w14:paraId="108B009F" w14:textId="77777777" w:rsidR="003A23E1" w:rsidRDefault="003A23E1" w:rsidP="003A23E1">
            <w:pPr>
              <w:pStyle w:val="NoSpacing"/>
              <w:rPr>
                <w:rFonts w:eastAsia="Arial Unicode MS"/>
              </w:rPr>
            </w:pPr>
          </w:p>
          <w:p w14:paraId="64E0C247" w14:textId="7A11DE2E" w:rsidR="000354B5" w:rsidRPr="00A96EC1" w:rsidRDefault="003A23E1" w:rsidP="003A23E1">
            <w:pPr>
              <w:pStyle w:val="NoSpacing"/>
              <w:rPr>
                <w:sz w:val="20"/>
                <w:szCs w:val="20"/>
              </w:rPr>
            </w:pPr>
            <w:r>
              <w:t>Target based feedback using music notebooks/practice diaries to show gradual progress and to make more effective practice/learning</w:t>
            </w:r>
            <w:r>
              <w:br/>
            </w:r>
            <w:r>
              <w:br/>
              <w:t>Final recording in rehearsals space/spotlight but also recordings to show progress and for peer to peer feedback</w:t>
            </w:r>
          </w:p>
        </w:tc>
        <w:tc>
          <w:tcPr>
            <w:tcW w:w="2268" w:type="dxa"/>
            <w:shd w:val="clear" w:color="auto" w:fill="auto"/>
          </w:tcPr>
          <w:p w14:paraId="6AFBA47D" w14:textId="6B69DD28" w:rsidR="001B28C1" w:rsidRDefault="0027693E" w:rsidP="001B28C1">
            <w:pPr>
              <w:pStyle w:val="Default"/>
              <w:spacing w:before="0" w:line="280" w:lineRule="atLeast"/>
              <w:rPr>
                <w:rFonts w:ascii="Calibri" w:eastAsia="Arial Unicode MS" w:hAnsi="Calibri" w:cs="Arial Unicode MS"/>
                <w:color w:val="auto"/>
                <w:sz w:val="22"/>
                <w:szCs w:val="22"/>
                <w:lang w:val="en-US"/>
              </w:rPr>
            </w:pPr>
            <w:hyperlink r:id="rId5" w:history="1">
              <w:r w:rsidR="001B28C1" w:rsidRPr="000D5D09">
                <w:rPr>
                  <w:rStyle w:val="Hyperlink"/>
                  <w:rFonts w:ascii="Calibri" w:eastAsia="Arial Unicode MS" w:hAnsi="Calibri" w:cs="Arial Unicode MS"/>
                  <w:sz w:val="22"/>
                  <w:szCs w:val="22"/>
                  <w:lang w:val="en-US"/>
                </w:rPr>
                <w:t>https://www.leanmusician.com/post/how-to-practice-music-effectively</w:t>
              </w:r>
            </w:hyperlink>
          </w:p>
          <w:p w14:paraId="444D2141" w14:textId="77777777" w:rsidR="001B28C1" w:rsidRDefault="001B28C1" w:rsidP="001B28C1">
            <w:pPr>
              <w:pStyle w:val="Default"/>
              <w:spacing w:before="0" w:line="280" w:lineRule="atLeast"/>
              <w:rPr>
                <w:rFonts w:ascii="Calibri" w:eastAsia="Arial Unicode MS" w:hAnsi="Calibri" w:cs="Arial Unicode MS"/>
                <w:color w:val="auto"/>
                <w:sz w:val="22"/>
                <w:szCs w:val="22"/>
                <w:lang w:val="en-US"/>
              </w:rPr>
            </w:pPr>
          </w:p>
          <w:p w14:paraId="2B2E85FF" w14:textId="2CDB0FD8" w:rsidR="00504806" w:rsidRPr="001B28C1" w:rsidRDefault="003A23E1" w:rsidP="001B28C1">
            <w:pPr>
              <w:pStyle w:val="Default"/>
              <w:spacing w:before="0" w:line="280" w:lineRule="atLeast"/>
              <w:rPr>
                <w:rFonts w:ascii="Calibri" w:eastAsia="Arial Unicode MS" w:hAnsi="Calibri" w:cs="Arial Unicode MS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 w:cs="Arial Unicode MS"/>
                <w:color w:val="auto"/>
                <w:sz w:val="22"/>
                <w:szCs w:val="22"/>
                <w:lang w:val="en-US"/>
              </w:rPr>
              <w:t>YouTube to listen to the song, but to also find instrumental performances of the chosen song on their selected instrument to learn/follow certain skills used.</w:t>
            </w:r>
          </w:p>
        </w:tc>
        <w:tc>
          <w:tcPr>
            <w:tcW w:w="1701" w:type="dxa"/>
            <w:shd w:val="clear" w:color="auto" w:fill="auto"/>
          </w:tcPr>
          <w:p w14:paraId="0D2D058E" w14:textId="77777777" w:rsidR="0078077D" w:rsidRPr="0078077D" w:rsidRDefault="0078077D" w:rsidP="0078077D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78077D">
              <w:rPr>
                <w:rFonts w:asciiTheme="minorHAnsi" w:hAnsiTheme="minorHAnsi" w:cstheme="minorHAnsi"/>
                <w:bCs/>
              </w:rPr>
              <w:t xml:space="preserve">Watch performances from “Solo performers” playlist on </w:t>
            </w:r>
            <w:hyperlink r:id="rId6" w:history="1">
              <w:r w:rsidRPr="0078077D">
                <w:rPr>
                  <w:rStyle w:val="Hyperlink"/>
                  <w:rFonts w:asciiTheme="minorHAnsi" w:hAnsiTheme="minorHAnsi" w:cstheme="minorHAnsi"/>
                  <w:bCs/>
                </w:rPr>
                <w:t>http://lpsmusic.co.uk</w:t>
              </w:r>
            </w:hyperlink>
          </w:p>
          <w:p w14:paraId="6BD2F479" w14:textId="27F23244" w:rsidR="00576A35" w:rsidRPr="0078077D" w:rsidRDefault="00576A3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C151D00" w14:textId="72B09A07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13451"/>
    <w:rsid w:val="000354B5"/>
    <w:rsid w:val="00042E36"/>
    <w:rsid w:val="0016476C"/>
    <w:rsid w:val="00170595"/>
    <w:rsid w:val="00176F6A"/>
    <w:rsid w:val="001900A7"/>
    <w:rsid w:val="001A4E94"/>
    <w:rsid w:val="001B28C1"/>
    <w:rsid w:val="0027693E"/>
    <w:rsid w:val="00305F12"/>
    <w:rsid w:val="00332952"/>
    <w:rsid w:val="00335D45"/>
    <w:rsid w:val="00366EF9"/>
    <w:rsid w:val="003A23E1"/>
    <w:rsid w:val="003B6A1E"/>
    <w:rsid w:val="003E0143"/>
    <w:rsid w:val="004017E1"/>
    <w:rsid w:val="00405A63"/>
    <w:rsid w:val="004839F8"/>
    <w:rsid w:val="00504806"/>
    <w:rsid w:val="00532263"/>
    <w:rsid w:val="00547EC7"/>
    <w:rsid w:val="00576A35"/>
    <w:rsid w:val="006805AB"/>
    <w:rsid w:val="006D3989"/>
    <w:rsid w:val="00721350"/>
    <w:rsid w:val="0078077D"/>
    <w:rsid w:val="00784498"/>
    <w:rsid w:val="007D7D7E"/>
    <w:rsid w:val="007F1EC2"/>
    <w:rsid w:val="0080072F"/>
    <w:rsid w:val="00886511"/>
    <w:rsid w:val="008A4882"/>
    <w:rsid w:val="008A4FF8"/>
    <w:rsid w:val="00912B88"/>
    <w:rsid w:val="00964FEA"/>
    <w:rsid w:val="00972CD2"/>
    <w:rsid w:val="009A5837"/>
    <w:rsid w:val="009B6D88"/>
    <w:rsid w:val="009C39D0"/>
    <w:rsid w:val="009C6686"/>
    <w:rsid w:val="00A031FB"/>
    <w:rsid w:val="00A36779"/>
    <w:rsid w:val="00A46347"/>
    <w:rsid w:val="00A96EC1"/>
    <w:rsid w:val="00AF5436"/>
    <w:rsid w:val="00C97343"/>
    <w:rsid w:val="00CD7418"/>
    <w:rsid w:val="00D02B0E"/>
    <w:rsid w:val="00D05FEB"/>
    <w:rsid w:val="00D06E03"/>
    <w:rsid w:val="00D977A3"/>
    <w:rsid w:val="00DB4DEA"/>
    <w:rsid w:val="00DC4AE8"/>
    <w:rsid w:val="00DE0DC5"/>
    <w:rsid w:val="00DF4BF4"/>
    <w:rsid w:val="00E235D4"/>
    <w:rsid w:val="00E65981"/>
    <w:rsid w:val="00E92685"/>
    <w:rsid w:val="00EF3822"/>
    <w:rsid w:val="00F173C9"/>
    <w:rsid w:val="00FA5E92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97017E15-4A35-467B-B5E7-D06A330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23E1"/>
    <w:pPr>
      <w:spacing w:before="160"/>
    </w:pPr>
    <w:rPr>
      <w:rFonts w:ascii="Helvetica Neue" w:eastAsia="Helvetica Neue" w:hAnsi="Helvetica Neue" w:cs="Helvetica Neue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psmusic.co.uk" TargetMode="External"/><Relationship Id="rId5" Type="http://schemas.openxmlformats.org/officeDocument/2006/relationships/hyperlink" Target="https://www.leanmusician.com/post/how-to-practice-music-effective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27</cp:revision>
  <dcterms:created xsi:type="dcterms:W3CDTF">2019-12-19T14:46:00Z</dcterms:created>
  <dcterms:modified xsi:type="dcterms:W3CDTF">2022-10-11T13:17:00Z</dcterms:modified>
</cp:coreProperties>
</file>