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1985"/>
        <w:gridCol w:w="1701"/>
        <w:gridCol w:w="2409"/>
        <w:gridCol w:w="1560"/>
        <w:gridCol w:w="2268"/>
        <w:gridCol w:w="2268"/>
      </w:tblGrid>
      <w:tr w:rsidR="000354B5" w14:paraId="7B5ECE88" w14:textId="77777777" w:rsidTr="00C7381E">
        <w:tc>
          <w:tcPr>
            <w:tcW w:w="2518" w:type="dxa"/>
            <w:gridSpan w:val="2"/>
            <w:shd w:val="clear" w:color="auto" w:fill="auto"/>
          </w:tcPr>
          <w:p w14:paraId="7BDA3CB2" w14:textId="4BAA732E" w:rsidR="000354B5" w:rsidRPr="00FF68F5" w:rsidRDefault="00405A63" w:rsidP="00721350">
            <w:pPr>
              <w:pStyle w:val="NoSpacing"/>
            </w:pPr>
            <w:r>
              <w:t xml:space="preserve">Year </w:t>
            </w:r>
            <w:r w:rsidR="00721350">
              <w:t>7</w:t>
            </w:r>
            <w:r w:rsidR="000354B5">
              <w:t xml:space="preserve"> </w:t>
            </w:r>
            <w:r w:rsidR="00547EC7">
              <w:t xml:space="preserve">– </w:t>
            </w:r>
            <w:r w:rsidR="00D06E03">
              <w:t>Music</w:t>
            </w:r>
          </w:p>
        </w:tc>
        <w:tc>
          <w:tcPr>
            <w:tcW w:w="12191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D02B0E">
        <w:tc>
          <w:tcPr>
            <w:tcW w:w="14709" w:type="dxa"/>
            <w:gridSpan w:val="8"/>
            <w:shd w:val="clear" w:color="auto" w:fill="auto"/>
          </w:tcPr>
          <w:p w14:paraId="7F2629AB" w14:textId="25B7577C" w:rsidR="000354B5" w:rsidRPr="005A7068" w:rsidRDefault="000354B5" w:rsidP="004022D7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4022D7">
              <w:rPr>
                <w:b/>
                <w:sz w:val="28"/>
                <w:szCs w:val="28"/>
              </w:rPr>
              <w:t>How can we get from symbols to sound?</w:t>
            </w:r>
          </w:p>
        </w:tc>
      </w:tr>
      <w:tr w:rsidR="000354B5" w:rsidRPr="006472AF" w14:paraId="51209863" w14:textId="77777777" w:rsidTr="00D02B0E">
        <w:tc>
          <w:tcPr>
            <w:tcW w:w="14709" w:type="dxa"/>
            <w:gridSpan w:val="8"/>
            <w:shd w:val="clear" w:color="auto" w:fill="auto"/>
          </w:tcPr>
          <w:p w14:paraId="4C2252A4" w14:textId="7AD07716" w:rsidR="000354B5" w:rsidRDefault="000354B5" w:rsidP="00D02B0E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D536C5">
              <w:rPr>
                <w:sz w:val="28"/>
                <w:szCs w:val="28"/>
              </w:rPr>
              <w:t>Take Note</w:t>
            </w:r>
          </w:p>
          <w:p w14:paraId="59740FA8" w14:textId="313A388F" w:rsidR="001A4E94" w:rsidRPr="006E45F9" w:rsidRDefault="000354B5" w:rsidP="001A4E94">
            <w:pPr>
              <w:pStyle w:val="NoSpacing"/>
              <w:rPr>
                <w:sz w:val="28"/>
              </w:rPr>
            </w:pPr>
            <w:r>
              <w:t xml:space="preserve">Why now?  </w:t>
            </w:r>
            <w:r w:rsidR="00D06E03">
              <w:rPr>
                <w:sz w:val="28"/>
              </w:rPr>
              <w:t xml:space="preserve">Students </w:t>
            </w:r>
            <w:r w:rsidR="00971CBA">
              <w:rPr>
                <w:sz w:val="28"/>
              </w:rPr>
              <w:t>may or may not have had experience of music at primary school, the first lesson should be musical. T</w:t>
            </w:r>
            <w:r w:rsidR="004022D7">
              <w:rPr>
                <w:sz w:val="28"/>
              </w:rPr>
              <w:t>his unit will enable them to share and develop their current level of instrument ability while learning about stave notation and tab notation.</w:t>
            </w:r>
          </w:p>
          <w:p w14:paraId="5BC8A28B" w14:textId="53A41986" w:rsidR="00DF4BF4" w:rsidRDefault="00DF4BF4" w:rsidP="00DF4BF4">
            <w:pPr>
              <w:pStyle w:val="NoSpacing"/>
              <w:rPr>
                <w:sz w:val="28"/>
              </w:rPr>
            </w:pPr>
          </w:p>
          <w:p w14:paraId="5BC935C4" w14:textId="595EF189" w:rsidR="000354B5" w:rsidRPr="006472AF" w:rsidRDefault="000354B5" w:rsidP="00DF4BF4">
            <w:pPr>
              <w:pStyle w:val="NoSpacing"/>
            </w:pPr>
          </w:p>
        </w:tc>
      </w:tr>
      <w:tr w:rsidR="000354B5" w14:paraId="4F042374" w14:textId="77777777" w:rsidTr="00D0708E">
        <w:tc>
          <w:tcPr>
            <w:tcW w:w="1951" w:type="dxa"/>
            <w:shd w:val="clear" w:color="auto" w:fill="auto"/>
          </w:tcPr>
          <w:p w14:paraId="6A82F54A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  <w:b/>
              </w:rPr>
            </w:pPr>
            <w:r w:rsidRPr="00D0708E">
              <w:rPr>
                <w:rFonts w:asciiTheme="minorHAnsi" w:hAnsiTheme="minorHAnsi"/>
                <w:b/>
              </w:rPr>
              <w:t>Knowledge</w:t>
            </w:r>
          </w:p>
          <w:p w14:paraId="3D09043B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  <w:b/>
              </w:rPr>
            </w:pPr>
            <w:r w:rsidRPr="00D0708E">
              <w:rPr>
                <w:rFonts w:asciiTheme="minorHAnsi" w:hAnsiTheme="minorHAnsi"/>
              </w:rPr>
              <w:t>Students will know about…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DF417F0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  <w:b/>
              </w:rPr>
            </w:pPr>
            <w:r w:rsidRPr="00D0708E">
              <w:rPr>
                <w:rFonts w:asciiTheme="minorHAnsi" w:hAnsiTheme="minorHAnsi"/>
                <w:b/>
              </w:rPr>
              <w:t>Application/Skills</w:t>
            </w:r>
          </w:p>
          <w:p w14:paraId="3847171F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Students will be able to…</w:t>
            </w:r>
          </w:p>
        </w:tc>
        <w:tc>
          <w:tcPr>
            <w:tcW w:w="1701" w:type="dxa"/>
            <w:shd w:val="clear" w:color="auto" w:fill="auto"/>
          </w:tcPr>
          <w:p w14:paraId="1A4EDE4D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Vocabulary</w:t>
            </w:r>
          </w:p>
          <w:p w14:paraId="5EB2E1E0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  <w:i/>
              </w:rPr>
            </w:pPr>
            <w:r w:rsidRPr="00D0708E">
              <w:rPr>
                <w:rFonts w:asciiTheme="minorHAnsi" w:hAnsiTheme="minorHAnsi"/>
                <w:i/>
              </w:rPr>
              <w:t>(Tier 2 and 3)</w:t>
            </w:r>
          </w:p>
        </w:tc>
        <w:tc>
          <w:tcPr>
            <w:tcW w:w="2409" w:type="dxa"/>
            <w:shd w:val="clear" w:color="auto" w:fill="auto"/>
          </w:tcPr>
          <w:p w14:paraId="0F90272B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Home Learning</w:t>
            </w:r>
          </w:p>
        </w:tc>
        <w:tc>
          <w:tcPr>
            <w:tcW w:w="1560" w:type="dxa"/>
            <w:shd w:val="clear" w:color="auto" w:fill="auto"/>
          </w:tcPr>
          <w:p w14:paraId="283B5977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Assessment</w:t>
            </w:r>
          </w:p>
        </w:tc>
        <w:tc>
          <w:tcPr>
            <w:tcW w:w="2268" w:type="dxa"/>
            <w:shd w:val="clear" w:color="auto" w:fill="auto"/>
          </w:tcPr>
          <w:p w14:paraId="07E3F098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Extra Resources</w:t>
            </w:r>
          </w:p>
          <w:p w14:paraId="4E9199D6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Cultural Capital</w:t>
            </w:r>
          </w:p>
          <w:p w14:paraId="7A23EB3B" w14:textId="77777777" w:rsidR="000354B5" w:rsidRPr="00D0708E" w:rsidRDefault="000354B5" w:rsidP="00D02B0E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0354B5" w14:paraId="16F9AA10" w14:textId="77777777" w:rsidTr="00D0708E">
        <w:trPr>
          <w:trHeight w:val="3010"/>
        </w:trPr>
        <w:tc>
          <w:tcPr>
            <w:tcW w:w="1951" w:type="dxa"/>
            <w:shd w:val="clear" w:color="auto" w:fill="auto"/>
          </w:tcPr>
          <w:p w14:paraId="753FD5BC" w14:textId="77777777" w:rsidR="0056380B" w:rsidRPr="00D0708E" w:rsidRDefault="0056380B" w:rsidP="0056380B">
            <w:pPr>
              <w:rPr>
                <w:rFonts w:asciiTheme="minorHAnsi" w:hAnsiTheme="minorHAnsi" w:cs="Arial"/>
              </w:rPr>
            </w:pPr>
            <w:r w:rsidRPr="00D0708E">
              <w:rPr>
                <w:rFonts w:asciiTheme="minorHAnsi" w:hAnsiTheme="minorHAnsi" w:cs="Arial"/>
              </w:rPr>
              <w:t>Musical shape</w:t>
            </w:r>
          </w:p>
          <w:p w14:paraId="2CF78B07" w14:textId="77777777" w:rsidR="0056380B" w:rsidRPr="00D0708E" w:rsidRDefault="0056380B" w:rsidP="0056380B">
            <w:pPr>
              <w:rPr>
                <w:rFonts w:asciiTheme="minorHAnsi" w:hAnsiTheme="minorHAnsi" w:cs="Arial"/>
              </w:rPr>
            </w:pPr>
            <w:r w:rsidRPr="00D0708E">
              <w:rPr>
                <w:rFonts w:asciiTheme="minorHAnsi" w:hAnsiTheme="minorHAnsi" w:cs="Arial"/>
              </w:rPr>
              <w:t>Interpretation of musical shape</w:t>
            </w:r>
          </w:p>
          <w:p w14:paraId="2F9D5D71" w14:textId="77777777" w:rsidR="0056380B" w:rsidRPr="00D0708E" w:rsidRDefault="0056380B" w:rsidP="0056380B">
            <w:pPr>
              <w:rPr>
                <w:rFonts w:asciiTheme="minorHAnsi" w:hAnsiTheme="minorHAnsi" w:cs="Arial"/>
              </w:rPr>
            </w:pPr>
            <w:r w:rsidRPr="00D0708E">
              <w:rPr>
                <w:rFonts w:asciiTheme="minorHAnsi" w:hAnsiTheme="minorHAnsi" w:cs="Arial"/>
              </w:rPr>
              <w:t>Stave notation</w:t>
            </w:r>
          </w:p>
          <w:p w14:paraId="5798D578" w14:textId="43167FFB" w:rsidR="004022D7" w:rsidRPr="00D0708E" w:rsidRDefault="0056380B" w:rsidP="0056380B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 w:cs="Arial"/>
              </w:rPr>
              <w:t>Tab notation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505FEA7" w14:textId="7F79CB6F" w:rsidR="00532263" w:rsidRPr="00D0708E" w:rsidRDefault="004022D7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  <w:r w:rsidRPr="00D0708E">
              <w:rPr>
                <w:rFonts w:asciiTheme="minorHAnsi" w:hAnsiTheme="minorHAnsi" w:cs="Arial"/>
                <w:bCs/>
              </w:rPr>
              <w:t>Differentiate between stave notation and tab notation.</w:t>
            </w:r>
          </w:p>
          <w:p w14:paraId="71D9BA65" w14:textId="77777777" w:rsidR="00532263" w:rsidRPr="00D0708E" w:rsidRDefault="00532263" w:rsidP="00A36779">
            <w:pPr>
              <w:pStyle w:val="NoSpacing"/>
              <w:rPr>
                <w:rFonts w:asciiTheme="minorHAnsi" w:hAnsiTheme="minorHAnsi" w:cs="Arial"/>
                <w:bCs/>
              </w:rPr>
            </w:pPr>
          </w:p>
          <w:p w14:paraId="49974B11" w14:textId="77777777" w:rsidR="00A36779" w:rsidRPr="00D0708E" w:rsidRDefault="004022D7" w:rsidP="004022D7">
            <w:pPr>
              <w:pStyle w:val="NoSpacing"/>
              <w:rPr>
                <w:rFonts w:asciiTheme="minorHAnsi" w:hAnsiTheme="minorHAnsi" w:cs="Arial"/>
                <w:bCs/>
              </w:rPr>
            </w:pPr>
            <w:r w:rsidRPr="00D0708E">
              <w:rPr>
                <w:rFonts w:asciiTheme="minorHAnsi" w:hAnsiTheme="minorHAnsi" w:cs="Arial"/>
                <w:bCs/>
              </w:rPr>
              <w:t>Interpret stave notation and tab notation</w:t>
            </w:r>
          </w:p>
          <w:p w14:paraId="4C27A504" w14:textId="77777777" w:rsidR="004022D7" w:rsidRPr="00D0708E" w:rsidRDefault="004022D7" w:rsidP="004022D7">
            <w:pPr>
              <w:pStyle w:val="NoSpacing"/>
              <w:rPr>
                <w:rFonts w:asciiTheme="minorHAnsi" w:hAnsiTheme="minorHAnsi" w:cs="Arial"/>
                <w:bCs/>
              </w:rPr>
            </w:pPr>
          </w:p>
          <w:p w14:paraId="198C5C2A" w14:textId="27F25C20" w:rsidR="004022D7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Use the forms of notation to play various melodies and riffs</w:t>
            </w:r>
          </w:p>
        </w:tc>
        <w:tc>
          <w:tcPr>
            <w:tcW w:w="1701" w:type="dxa"/>
            <w:shd w:val="clear" w:color="auto" w:fill="auto"/>
          </w:tcPr>
          <w:p w14:paraId="615A7878" w14:textId="77777777" w:rsidR="004E1728" w:rsidRDefault="004E1728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Pitch</w:t>
            </w:r>
          </w:p>
          <w:p w14:paraId="002DF510" w14:textId="77777777" w:rsidR="004E1728" w:rsidRDefault="004E1728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Stave</w:t>
            </w:r>
          </w:p>
          <w:p w14:paraId="7191B3C4" w14:textId="77777777" w:rsidR="004E1728" w:rsidRDefault="004E1728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Melody</w:t>
            </w:r>
          </w:p>
          <w:p w14:paraId="2EA6A04D" w14:textId="77777777" w:rsidR="004E1728" w:rsidRDefault="004E1728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Rhythm</w:t>
            </w:r>
          </w:p>
          <w:p w14:paraId="49E97ADB" w14:textId="77777777" w:rsidR="004E1728" w:rsidRDefault="004E1728" w:rsidP="0053226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</w:t>
            </w:r>
          </w:p>
          <w:p w14:paraId="7C4F1C54" w14:textId="1672B72A" w:rsidR="00A36779" w:rsidRPr="00D0708E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Improve</w:t>
            </w:r>
          </w:p>
          <w:p w14:paraId="0B6986CF" w14:textId="4CCDC74A" w:rsidR="00532263" w:rsidRPr="00D0708E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Engage</w:t>
            </w:r>
          </w:p>
          <w:p w14:paraId="0D634458" w14:textId="77777777" w:rsidR="00532263" w:rsidRPr="00D0708E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Participate</w:t>
            </w:r>
          </w:p>
          <w:p w14:paraId="34418B02" w14:textId="0088F589" w:rsidR="00532263" w:rsidRPr="00D0708E" w:rsidRDefault="00532263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Share</w:t>
            </w:r>
          </w:p>
          <w:p w14:paraId="17C51104" w14:textId="77777777" w:rsidR="004022D7" w:rsidRPr="00D0708E" w:rsidRDefault="004022D7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Differentiate</w:t>
            </w:r>
          </w:p>
          <w:p w14:paraId="7E2A94AD" w14:textId="27F6A9C9" w:rsidR="004022D7" w:rsidRPr="00D0708E" w:rsidRDefault="004022D7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Relate</w:t>
            </w:r>
          </w:p>
          <w:p w14:paraId="3CDC4582" w14:textId="77777777" w:rsidR="004022D7" w:rsidRPr="00D0708E" w:rsidRDefault="004022D7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Interpret</w:t>
            </w:r>
          </w:p>
          <w:p w14:paraId="69635C9F" w14:textId="2C411F00" w:rsidR="004022D7" w:rsidRPr="00D0708E" w:rsidRDefault="004022D7" w:rsidP="00532263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Execute</w:t>
            </w:r>
          </w:p>
          <w:p w14:paraId="6AB9EE5D" w14:textId="326921D8" w:rsidR="00532263" w:rsidRPr="00D0708E" w:rsidRDefault="004022D7" w:rsidP="00D02B0E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Communicate</w:t>
            </w:r>
          </w:p>
        </w:tc>
        <w:tc>
          <w:tcPr>
            <w:tcW w:w="2409" w:type="dxa"/>
            <w:shd w:val="clear" w:color="auto" w:fill="auto"/>
          </w:tcPr>
          <w:p w14:paraId="11F5E72F" w14:textId="77777777" w:rsidR="004022D7" w:rsidRPr="00D0708E" w:rsidRDefault="004022D7" w:rsidP="004022D7">
            <w:pPr>
              <w:pStyle w:val="NoSpacing"/>
              <w:rPr>
                <w:rStyle w:val="Hyperlink"/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 xml:space="preserve">Note identification on </w:t>
            </w:r>
            <w:hyperlink r:id="rId5" w:history="1">
              <w:r w:rsidRPr="00D0708E">
                <w:rPr>
                  <w:rStyle w:val="Hyperlink"/>
                  <w:rFonts w:asciiTheme="minorHAnsi" w:hAnsiTheme="minorHAnsi"/>
                </w:rPr>
                <w:t>http://musictheory.net</w:t>
              </w:r>
            </w:hyperlink>
          </w:p>
          <w:p w14:paraId="6164D826" w14:textId="77777777" w:rsidR="004022D7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</w:p>
          <w:p w14:paraId="21B2B83D" w14:textId="77777777" w:rsidR="004022D7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Using the practice rooms at break and lunch to do extra learning and practice</w:t>
            </w:r>
          </w:p>
          <w:p w14:paraId="49634000" w14:textId="6052BE8C" w:rsidR="000354B5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 xml:space="preserve">Read the information page about piano and guitar on </w:t>
            </w:r>
            <w:hyperlink r:id="rId6" w:history="1">
              <w:r w:rsidRPr="00D0708E">
                <w:rPr>
                  <w:rStyle w:val="Hyperlink"/>
                  <w:rFonts w:asciiTheme="minorHAnsi" w:hAnsiTheme="minorHAnsi"/>
                </w:rPr>
                <w:t>http://lpsmusic.co.uk</w:t>
              </w:r>
            </w:hyperlink>
          </w:p>
        </w:tc>
        <w:tc>
          <w:tcPr>
            <w:tcW w:w="1560" w:type="dxa"/>
            <w:shd w:val="clear" w:color="auto" w:fill="auto"/>
          </w:tcPr>
          <w:p w14:paraId="0DE79EAE" w14:textId="77777777" w:rsidR="004022D7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Questioning</w:t>
            </w:r>
          </w:p>
          <w:p w14:paraId="207E765E" w14:textId="77777777" w:rsidR="004022D7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</w:p>
          <w:p w14:paraId="09BF3B14" w14:textId="77777777" w:rsidR="004022D7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Peer working and feedback</w:t>
            </w:r>
          </w:p>
          <w:p w14:paraId="2E8FBE67" w14:textId="77777777" w:rsidR="004022D7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</w:p>
          <w:p w14:paraId="64E0C247" w14:textId="084A2BC9" w:rsidR="000354B5" w:rsidRPr="00D0708E" w:rsidRDefault="004022D7" w:rsidP="004022D7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Teacher assessment of confidence when using stave or tab notation</w:t>
            </w:r>
          </w:p>
        </w:tc>
        <w:tc>
          <w:tcPr>
            <w:tcW w:w="2268" w:type="dxa"/>
            <w:shd w:val="clear" w:color="auto" w:fill="auto"/>
          </w:tcPr>
          <w:p w14:paraId="4876C367" w14:textId="77777777" w:rsidR="00BF7720" w:rsidRPr="00D0708E" w:rsidRDefault="00BF7720" w:rsidP="00BF7720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Research history of stave notation</w:t>
            </w:r>
          </w:p>
          <w:p w14:paraId="0F3318EB" w14:textId="77777777" w:rsidR="00BF7720" w:rsidRPr="00D0708E" w:rsidRDefault="00BF7720" w:rsidP="00BF7720">
            <w:pPr>
              <w:pStyle w:val="NoSpacing"/>
              <w:rPr>
                <w:rFonts w:asciiTheme="minorHAnsi" w:hAnsiTheme="minorHAnsi"/>
              </w:rPr>
            </w:pPr>
          </w:p>
          <w:p w14:paraId="364FA253" w14:textId="77777777" w:rsidR="00BF7720" w:rsidRPr="00D0708E" w:rsidRDefault="00BF7720" w:rsidP="00BF7720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>Research on other forms of musical notation</w:t>
            </w:r>
          </w:p>
          <w:p w14:paraId="28131169" w14:textId="77777777" w:rsidR="00BF7720" w:rsidRPr="00D0708E" w:rsidRDefault="00BF7720" w:rsidP="00BF7720">
            <w:pPr>
              <w:pStyle w:val="NoSpacing"/>
              <w:rPr>
                <w:rFonts w:asciiTheme="minorHAnsi" w:hAnsiTheme="minorHAnsi"/>
              </w:rPr>
            </w:pPr>
          </w:p>
          <w:p w14:paraId="2B2E85FF" w14:textId="452727FA" w:rsidR="004022D7" w:rsidRPr="00D0708E" w:rsidRDefault="00BF7720" w:rsidP="004022D7">
            <w:pPr>
              <w:pStyle w:val="NoSpacing"/>
              <w:rPr>
                <w:rFonts w:asciiTheme="minorHAnsi" w:hAnsiTheme="minorHAnsi"/>
              </w:rPr>
            </w:pPr>
            <w:r w:rsidRPr="00D0708E">
              <w:rPr>
                <w:rFonts w:asciiTheme="minorHAnsi" w:hAnsiTheme="minorHAnsi"/>
              </w:rPr>
              <w:t xml:space="preserve">Read the information page about piano and guitar on </w:t>
            </w:r>
            <w:hyperlink r:id="rId7" w:history="1">
              <w:r w:rsidRPr="00D0708E">
                <w:rPr>
                  <w:rStyle w:val="Hyperlink"/>
                  <w:rFonts w:asciiTheme="minorHAnsi" w:hAnsiTheme="minorHAnsi"/>
                </w:rPr>
                <w:t>http://lpsmusic.co.uk</w:t>
              </w:r>
            </w:hyperlink>
          </w:p>
        </w:tc>
        <w:tc>
          <w:tcPr>
            <w:tcW w:w="2268" w:type="dxa"/>
            <w:shd w:val="clear" w:color="auto" w:fill="auto"/>
          </w:tcPr>
          <w:p w14:paraId="4AEE88B2" w14:textId="77777777" w:rsidR="004771D2" w:rsidRPr="00D0708E" w:rsidRDefault="004771D2" w:rsidP="004771D2">
            <w:pPr>
              <w:pStyle w:val="NoSpacing"/>
              <w:rPr>
                <w:rFonts w:asciiTheme="minorHAnsi" w:hAnsiTheme="minorHAnsi"/>
                <w:b/>
              </w:rPr>
            </w:pPr>
            <w:r w:rsidRPr="00D0708E">
              <w:rPr>
                <w:rFonts w:asciiTheme="minorHAnsi" w:hAnsiTheme="minorHAnsi"/>
              </w:rPr>
              <w:t xml:space="preserve">Watch ‘Learn Notation’ song to the tune of “500 Miles” - </w:t>
            </w:r>
            <w:hyperlink r:id="rId8" w:history="1">
              <w:r w:rsidRPr="00D0708E">
                <w:rPr>
                  <w:rStyle w:val="Hyperlink"/>
                  <w:rFonts w:asciiTheme="minorHAnsi" w:hAnsiTheme="minorHAnsi"/>
                </w:rPr>
                <w:t>https://www.youtube.com/watch?v=3gRHgpyRem4</w:t>
              </w:r>
            </w:hyperlink>
          </w:p>
          <w:p w14:paraId="40C87E1B" w14:textId="77777777" w:rsidR="004771D2" w:rsidRPr="00D0708E" w:rsidRDefault="004771D2" w:rsidP="004771D2">
            <w:pPr>
              <w:pStyle w:val="NoSpacing"/>
              <w:rPr>
                <w:rFonts w:asciiTheme="minorHAnsi" w:hAnsiTheme="minorHAnsi"/>
                <w:bCs/>
              </w:rPr>
            </w:pPr>
          </w:p>
          <w:p w14:paraId="3BFF03A2" w14:textId="4FA324D2" w:rsidR="004771D2" w:rsidRPr="00D0708E" w:rsidRDefault="004771D2" w:rsidP="004771D2">
            <w:pPr>
              <w:pStyle w:val="NoSpacing"/>
              <w:rPr>
                <w:rFonts w:asciiTheme="minorHAnsi" w:hAnsiTheme="minorHAnsi"/>
                <w:bCs/>
              </w:rPr>
            </w:pPr>
            <w:r w:rsidRPr="00D0708E">
              <w:rPr>
                <w:rFonts w:asciiTheme="minorHAnsi" w:hAnsiTheme="minorHAnsi"/>
                <w:bCs/>
              </w:rPr>
              <w:t xml:space="preserve">Watch “500 Miles” by The Proclaimers - </w:t>
            </w:r>
            <w:hyperlink r:id="rId9" w:history="1">
              <w:r w:rsidRPr="00D0708E">
                <w:rPr>
                  <w:rStyle w:val="Hyperlink"/>
                  <w:rFonts w:asciiTheme="minorHAnsi" w:hAnsiTheme="minorHAnsi"/>
                </w:rPr>
                <w:t>https://www.youtube.com/watch?v=tbNlMtqrYS0</w:t>
              </w:r>
            </w:hyperlink>
          </w:p>
          <w:p w14:paraId="6BD2F479" w14:textId="0B796399" w:rsidR="00576A35" w:rsidRPr="00D0708E" w:rsidRDefault="00576A35" w:rsidP="00D02B0E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7C151D00" w14:textId="1310A63B" w:rsidR="00D02B0E" w:rsidRDefault="00D02B0E" w:rsidP="004017E1"/>
    <w:sectPr w:rsidR="00D02B0E" w:rsidSect="00DC4AE8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4B3"/>
    <w:multiLevelType w:val="hybridMultilevel"/>
    <w:tmpl w:val="165AE104"/>
    <w:lvl w:ilvl="0" w:tplc="F8BE31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044"/>
    <w:multiLevelType w:val="hybridMultilevel"/>
    <w:tmpl w:val="DD24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B2219"/>
    <w:multiLevelType w:val="hybridMultilevel"/>
    <w:tmpl w:val="A9C8C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4294F"/>
    <w:multiLevelType w:val="hybridMultilevel"/>
    <w:tmpl w:val="DCECEF72"/>
    <w:lvl w:ilvl="0" w:tplc="A968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A8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2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6A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2E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7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68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E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09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354B5"/>
    <w:rsid w:val="00066B31"/>
    <w:rsid w:val="00170595"/>
    <w:rsid w:val="00176F6A"/>
    <w:rsid w:val="001900A7"/>
    <w:rsid w:val="001A4E94"/>
    <w:rsid w:val="00332952"/>
    <w:rsid w:val="003B6A1E"/>
    <w:rsid w:val="003E0143"/>
    <w:rsid w:val="004017E1"/>
    <w:rsid w:val="004022D7"/>
    <w:rsid w:val="00405A63"/>
    <w:rsid w:val="004771D2"/>
    <w:rsid w:val="004839F8"/>
    <w:rsid w:val="004E1728"/>
    <w:rsid w:val="00532263"/>
    <w:rsid w:val="00547EC7"/>
    <w:rsid w:val="0056380B"/>
    <w:rsid w:val="00576A35"/>
    <w:rsid w:val="006805AB"/>
    <w:rsid w:val="00684F43"/>
    <w:rsid w:val="006D3989"/>
    <w:rsid w:val="00721350"/>
    <w:rsid w:val="007D7D7E"/>
    <w:rsid w:val="007F1EC2"/>
    <w:rsid w:val="0080072F"/>
    <w:rsid w:val="008014C2"/>
    <w:rsid w:val="008A4882"/>
    <w:rsid w:val="00912B88"/>
    <w:rsid w:val="00964FEA"/>
    <w:rsid w:val="00971CBA"/>
    <w:rsid w:val="009A5837"/>
    <w:rsid w:val="009B6D88"/>
    <w:rsid w:val="009C39D0"/>
    <w:rsid w:val="009C6686"/>
    <w:rsid w:val="00A36779"/>
    <w:rsid w:val="00A46347"/>
    <w:rsid w:val="00A96EC1"/>
    <w:rsid w:val="00AF5436"/>
    <w:rsid w:val="00BF7720"/>
    <w:rsid w:val="00C7381E"/>
    <w:rsid w:val="00C97343"/>
    <w:rsid w:val="00D02B0E"/>
    <w:rsid w:val="00D05FEB"/>
    <w:rsid w:val="00D06E03"/>
    <w:rsid w:val="00D0708E"/>
    <w:rsid w:val="00D536C5"/>
    <w:rsid w:val="00DB4DEA"/>
    <w:rsid w:val="00DC4AE8"/>
    <w:rsid w:val="00DF4BF4"/>
    <w:rsid w:val="00E92685"/>
    <w:rsid w:val="00E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58AB9FB4-8BD7-4F6D-A717-F800D3A7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7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RHgpyRem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psmusi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psmusic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sictheory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bNlMtqrY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Tarbard, Lisa:CO (LN)</cp:lastModifiedBy>
  <cp:revision>18</cp:revision>
  <dcterms:created xsi:type="dcterms:W3CDTF">2019-12-19T14:46:00Z</dcterms:created>
  <dcterms:modified xsi:type="dcterms:W3CDTF">2022-10-11T11:27:00Z</dcterms:modified>
</cp:coreProperties>
</file>