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560"/>
        <w:gridCol w:w="2268"/>
        <w:gridCol w:w="2126"/>
        <w:gridCol w:w="1843"/>
        <w:gridCol w:w="2835"/>
      </w:tblGrid>
      <w:tr w:rsidR="000354B5" w14:paraId="7B5ECE88" w14:textId="77777777" w:rsidTr="00886511">
        <w:tc>
          <w:tcPr>
            <w:tcW w:w="1951" w:type="dxa"/>
            <w:shd w:val="clear" w:color="auto" w:fill="auto"/>
          </w:tcPr>
          <w:p w14:paraId="7BDA3CB2" w14:textId="2ECB6A24" w:rsidR="000354B5" w:rsidRPr="00FF68F5" w:rsidRDefault="00DE0DC5" w:rsidP="00042E36">
            <w:pPr>
              <w:pStyle w:val="NoSpacing"/>
            </w:pPr>
            <w:r>
              <w:t>Year 9 - Music</w:t>
            </w:r>
          </w:p>
        </w:tc>
        <w:tc>
          <w:tcPr>
            <w:tcW w:w="12758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D02B0E">
        <w:tc>
          <w:tcPr>
            <w:tcW w:w="14709" w:type="dxa"/>
            <w:gridSpan w:val="7"/>
            <w:shd w:val="clear" w:color="auto" w:fill="auto"/>
          </w:tcPr>
          <w:p w14:paraId="7F2629AB" w14:textId="54B548D8" w:rsidR="000354B5" w:rsidRPr="005A7068" w:rsidRDefault="000354B5" w:rsidP="00042E36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>Enquiry Question:</w:t>
            </w:r>
            <w:r w:rsidRPr="00305F12">
              <w:rPr>
                <w:b/>
                <w:sz w:val="28"/>
                <w:szCs w:val="28"/>
              </w:rPr>
              <w:t xml:space="preserve"> </w:t>
            </w:r>
            <w:r w:rsidR="00305F12" w:rsidRPr="00305F12">
              <w:rPr>
                <w:b/>
                <w:sz w:val="28"/>
                <w:szCs w:val="28"/>
              </w:rPr>
              <w:t>How can you make the same song sound better?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7"/>
            <w:shd w:val="clear" w:color="auto" w:fill="auto"/>
          </w:tcPr>
          <w:p w14:paraId="4C2252A4" w14:textId="25F2ADE1" w:rsidR="000354B5" w:rsidRDefault="000354B5" w:rsidP="00D02B0E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E65981">
              <w:rPr>
                <w:sz w:val="28"/>
                <w:szCs w:val="28"/>
              </w:rPr>
              <w:t>Popular Song</w:t>
            </w:r>
            <w:r w:rsidR="00225B54">
              <w:rPr>
                <w:sz w:val="28"/>
                <w:szCs w:val="28"/>
              </w:rPr>
              <w:t xml:space="preserve"> Is Band</w:t>
            </w:r>
          </w:p>
          <w:p w14:paraId="59740FA8" w14:textId="329751A6" w:rsidR="001A4E94" w:rsidRPr="006E45F9" w:rsidRDefault="000354B5" w:rsidP="001A4E94">
            <w:pPr>
              <w:pStyle w:val="NoSpacing"/>
              <w:rPr>
                <w:sz w:val="28"/>
              </w:rPr>
            </w:pPr>
            <w:r>
              <w:t xml:space="preserve">Why now?  </w:t>
            </w:r>
            <w:r w:rsidR="00D06E03">
              <w:rPr>
                <w:sz w:val="28"/>
              </w:rPr>
              <w:t xml:space="preserve">Students have </w:t>
            </w:r>
            <w:r w:rsidR="00042E36">
              <w:rPr>
                <w:sz w:val="28"/>
              </w:rPr>
              <w:t xml:space="preserve">previously </w:t>
            </w:r>
            <w:r w:rsidR="00E65981">
              <w:rPr>
                <w:sz w:val="28"/>
              </w:rPr>
              <w:t xml:space="preserve">used </w:t>
            </w:r>
            <w:r w:rsidR="00042E36">
              <w:rPr>
                <w:sz w:val="28"/>
              </w:rPr>
              <w:t>their band skills. This is an opportunity for them to further develop these skills</w:t>
            </w:r>
            <w:r w:rsidR="00E65981">
              <w:rPr>
                <w:sz w:val="28"/>
              </w:rPr>
              <w:t>. This will be done via individual learning, individual goal setting and peer support.</w:t>
            </w:r>
          </w:p>
          <w:p w14:paraId="5BC8A28B" w14:textId="53A41986" w:rsidR="00DF4BF4" w:rsidRDefault="00DF4BF4" w:rsidP="00DF4BF4">
            <w:pPr>
              <w:pStyle w:val="NoSpacing"/>
              <w:rPr>
                <w:sz w:val="28"/>
              </w:rPr>
            </w:pPr>
          </w:p>
          <w:p w14:paraId="5BC935C4" w14:textId="595EF189" w:rsidR="000354B5" w:rsidRPr="006472AF" w:rsidRDefault="000354B5" w:rsidP="00DF4BF4">
            <w:pPr>
              <w:pStyle w:val="NoSpacing"/>
            </w:pPr>
          </w:p>
        </w:tc>
      </w:tr>
      <w:tr w:rsidR="000354B5" w14:paraId="4F042374" w14:textId="77777777" w:rsidTr="0084115A">
        <w:tc>
          <w:tcPr>
            <w:tcW w:w="1951" w:type="dxa"/>
            <w:shd w:val="clear" w:color="auto" w:fill="auto"/>
          </w:tcPr>
          <w:p w14:paraId="6A82F54A" w14:textId="77777777" w:rsidR="000354B5" w:rsidRPr="00715C19" w:rsidRDefault="000354B5" w:rsidP="00D02B0E">
            <w:pPr>
              <w:pStyle w:val="NoSpacing"/>
              <w:rPr>
                <w:b/>
              </w:rPr>
            </w:pPr>
            <w:r w:rsidRPr="00715C19">
              <w:rPr>
                <w:b/>
              </w:rPr>
              <w:t>Knowledge</w:t>
            </w:r>
          </w:p>
          <w:p w14:paraId="3D09043B" w14:textId="77777777" w:rsidR="000354B5" w:rsidRPr="00715C19" w:rsidRDefault="000354B5" w:rsidP="00D02B0E">
            <w:pPr>
              <w:pStyle w:val="NoSpacing"/>
              <w:rPr>
                <w:b/>
              </w:rPr>
            </w:pPr>
            <w:r w:rsidRPr="00715C19">
              <w:t>Students will know about…</w:t>
            </w:r>
          </w:p>
        </w:tc>
        <w:tc>
          <w:tcPr>
            <w:tcW w:w="2126" w:type="dxa"/>
            <w:shd w:val="clear" w:color="auto" w:fill="auto"/>
          </w:tcPr>
          <w:p w14:paraId="1DF417F0" w14:textId="77777777" w:rsidR="000354B5" w:rsidRPr="00715C19" w:rsidRDefault="000354B5" w:rsidP="00D02B0E">
            <w:pPr>
              <w:pStyle w:val="NoSpacing"/>
              <w:rPr>
                <w:b/>
              </w:rPr>
            </w:pPr>
            <w:r w:rsidRPr="00715C19">
              <w:rPr>
                <w:b/>
              </w:rPr>
              <w:t>Application/Skills</w:t>
            </w:r>
          </w:p>
          <w:p w14:paraId="3847171F" w14:textId="77777777" w:rsidR="000354B5" w:rsidRPr="00715C19" w:rsidRDefault="000354B5" w:rsidP="00D02B0E">
            <w:pPr>
              <w:pStyle w:val="NoSpacing"/>
            </w:pPr>
            <w:r w:rsidRPr="00715C19">
              <w:t>Students will be able to…</w:t>
            </w:r>
          </w:p>
        </w:tc>
        <w:tc>
          <w:tcPr>
            <w:tcW w:w="1560" w:type="dxa"/>
            <w:shd w:val="clear" w:color="auto" w:fill="auto"/>
          </w:tcPr>
          <w:p w14:paraId="1A4EDE4D" w14:textId="77777777" w:rsidR="000354B5" w:rsidRPr="00715C19" w:rsidRDefault="000354B5" w:rsidP="00D02B0E">
            <w:pPr>
              <w:pStyle w:val="NoSpacing"/>
            </w:pPr>
            <w:r w:rsidRPr="00715C19">
              <w:t>Vocabulary</w:t>
            </w:r>
          </w:p>
          <w:p w14:paraId="5EB2E1E0" w14:textId="77777777" w:rsidR="000354B5" w:rsidRPr="00715C19" w:rsidRDefault="000354B5" w:rsidP="00D02B0E">
            <w:pPr>
              <w:pStyle w:val="NoSpacing"/>
              <w:rPr>
                <w:i/>
              </w:rPr>
            </w:pPr>
            <w:r w:rsidRPr="00715C19">
              <w:rPr>
                <w:i/>
              </w:rPr>
              <w:t>(Tier 2 and 3)</w:t>
            </w:r>
          </w:p>
        </w:tc>
        <w:tc>
          <w:tcPr>
            <w:tcW w:w="2268" w:type="dxa"/>
            <w:shd w:val="clear" w:color="auto" w:fill="auto"/>
          </w:tcPr>
          <w:p w14:paraId="0F90272B" w14:textId="77777777" w:rsidR="000354B5" w:rsidRPr="00715C19" w:rsidRDefault="000354B5" w:rsidP="00D02B0E">
            <w:pPr>
              <w:pStyle w:val="NoSpacing"/>
            </w:pPr>
            <w:r w:rsidRPr="00715C19">
              <w:t>Home Learning</w:t>
            </w:r>
          </w:p>
        </w:tc>
        <w:tc>
          <w:tcPr>
            <w:tcW w:w="2126" w:type="dxa"/>
            <w:shd w:val="clear" w:color="auto" w:fill="auto"/>
          </w:tcPr>
          <w:p w14:paraId="283B5977" w14:textId="77777777" w:rsidR="000354B5" w:rsidRPr="00715C19" w:rsidRDefault="000354B5" w:rsidP="00D02B0E">
            <w:pPr>
              <w:pStyle w:val="NoSpacing"/>
            </w:pPr>
            <w:r w:rsidRPr="00715C19"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Pr="00715C19" w:rsidRDefault="000354B5" w:rsidP="00D02B0E">
            <w:pPr>
              <w:pStyle w:val="NoSpacing"/>
            </w:pPr>
            <w:r w:rsidRPr="00715C19">
              <w:t>Extra Resources</w:t>
            </w:r>
          </w:p>
          <w:p w14:paraId="4E9199D6" w14:textId="77777777" w:rsidR="000354B5" w:rsidRPr="00715C19" w:rsidRDefault="000354B5" w:rsidP="00D02B0E">
            <w:pPr>
              <w:pStyle w:val="NoSpacing"/>
            </w:pPr>
            <w:r w:rsidRPr="00715C19">
              <w:t>Extended Reading</w:t>
            </w:r>
          </w:p>
        </w:tc>
        <w:tc>
          <w:tcPr>
            <w:tcW w:w="2835" w:type="dxa"/>
            <w:shd w:val="clear" w:color="auto" w:fill="auto"/>
          </w:tcPr>
          <w:p w14:paraId="42C77D6F" w14:textId="77777777" w:rsidR="000354B5" w:rsidRPr="00715C19" w:rsidRDefault="000354B5" w:rsidP="00D02B0E">
            <w:pPr>
              <w:pStyle w:val="NoSpacing"/>
            </w:pPr>
            <w:r w:rsidRPr="00715C19">
              <w:t>Cultural Capital</w:t>
            </w:r>
          </w:p>
          <w:p w14:paraId="7A23EB3B" w14:textId="77777777" w:rsidR="000354B5" w:rsidRPr="00715C19" w:rsidRDefault="000354B5" w:rsidP="00D02B0E">
            <w:pPr>
              <w:pStyle w:val="NoSpacing"/>
            </w:pPr>
          </w:p>
        </w:tc>
      </w:tr>
      <w:tr w:rsidR="000354B5" w14:paraId="16F9AA10" w14:textId="77777777" w:rsidTr="0084115A">
        <w:trPr>
          <w:trHeight w:val="3010"/>
        </w:trPr>
        <w:tc>
          <w:tcPr>
            <w:tcW w:w="1951" w:type="dxa"/>
            <w:shd w:val="clear" w:color="auto" w:fill="auto"/>
          </w:tcPr>
          <w:p w14:paraId="232925D7" w14:textId="77777777" w:rsidR="00715C19" w:rsidRPr="00715C19" w:rsidRDefault="00715C19" w:rsidP="00715C19">
            <w:pPr>
              <w:pStyle w:val="NoSpacing"/>
            </w:pPr>
            <w:r w:rsidRPr="00715C19">
              <w:t>Selection of song</w:t>
            </w:r>
          </w:p>
          <w:p w14:paraId="317088D0" w14:textId="77777777" w:rsidR="00715C19" w:rsidRPr="00715C19" w:rsidRDefault="00715C19" w:rsidP="00715C19">
            <w:pPr>
              <w:pStyle w:val="NoSpacing"/>
            </w:pPr>
          </w:p>
          <w:p w14:paraId="7C9D80D8" w14:textId="77777777" w:rsidR="00715C19" w:rsidRPr="00715C19" w:rsidRDefault="00715C19" w:rsidP="00715C19">
            <w:pPr>
              <w:pStyle w:val="NoSpacing"/>
            </w:pPr>
            <w:r w:rsidRPr="00715C19">
              <w:t>Learn and improve individual part</w:t>
            </w:r>
          </w:p>
          <w:p w14:paraId="73E84A1F" w14:textId="77777777" w:rsidR="00715C19" w:rsidRPr="00715C19" w:rsidRDefault="00715C19" w:rsidP="00715C19">
            <w:pPr>
              <w:pStyle w:val="NoSpacing"/>
            </w:pPr>
          </w:p>
          <w:p w14:paraId="4164D335" w14:textId="77777777" w:rsidR="00715C19" w:rsidRPr="00715C19" w:rsidRDefault="00715C19" w:rsidP="00715C19">
            <w:pPr>
              <w:pStyle w:val="NoSpacing"/>
            </w:pPr>
            <w:r w:rsidRPr="00715C19">
              <w:t>Listen to, and act on feedback/targets</w:t>
            </w:r>
          </w:p>
          <w:p w14:paraId="46E9016B" w14:textId="77777777" w:rsidR="00715C19" w:rsidRPr="00715C19" w:rsidRDefault="00715C19" w:rsidP="00715C19">
            <w:pPr>
              <w:pStyle w:val="NoSpacing"/>
            </w:pPr>
          </w:p>
          <w:p w14:paraId="5798D578" w14:textId="540771F1" w:rsidR="00D02B0E" w:rsidRPr="00715C19" w:rsidRDefault="00715C19" w:rsidP="00715C19">
            <w:pPr>
              <w:pStyle w:val="NoSpacing"/>
            </w:pPr>
            <w:r w:rsidRPr="00715C19">
              <w:t>Professionally perform Popular Song</w:t>
            </w:r>
          </w:p>
        </w:tc>
        <w:tc>
          <w:tcPr>
            <w:tcW w:w="2126" w:type="dxa"/>
            <w:shd w:val="clear" w:color="auto" w:fill="auto"/>
          </w:tcPr>
          <w:p w14:paraId="0505FEA7" w14:textId="77777777" w:rsidR="00532263" w:rsidRPr="00715C19" w:rsidRDefault="00532263" w:rsidP="00A36779">
            <w:pPr>
              <w:pStyle w:val="NoSpacing"/>
              <w:rPr>
                <w:rFonts w:cs="Arial"/>
                <w:bCs/>
              </w:rPr>
            </w:pPr>
            <w:r w:rsidRPr="00715C19">
              <w:rPr>
                <w:rFonts w:cs="Arial"/>
                <w:bCs/>
              </w:rPr>
              <w:t>Set up instruments in the practice rooms</w:t>
            </w:r>
          </w:p>
          <w:p w14:paraId="71D9BA65" w14:textId="77777777" w:rsidR="00532263" w:rsidRPr="00715C19" w:rsidRDefault="00532263" w:rsidP="00A36779">
            <w:pPr>
              <w:pStyle w:val="NoSpacing"/>
              <w:rPr>
                <w:rFonts w:cs="Arial"/>
                <w:bCs/>
              </w:rPr>
            </w:pPr>
          </w:p>
          <w:p w14:paraId="48D0AAA1" w14:textId="36A7C09F" w:rsidR="00532263" w:rsidRPr="00715C19" w:rsidRDefault="00532263" w:rsidP="00A36779">
            <w:pPr>
              <w:pStyle w:val="NoSpacing"/>
              <w:rPr>
                <w:rFonts w:cs="Arial"/>
                <w:bCs/>
              </w:rPr>
            </w:pPr>
            <w:r w:rsidRPr="00715C19">
              <w:rPr>
                <w:rFonts w:cs="Arial"/>
                <w:bCs/>
              </w:rPr>
              <w:t>Play</w:t>
            </w:r>
            <w:r w:rsidR="00042E36" w:rsidRPr="00715C19">
              <w:rPr>
                <w:rFonts w:cs="Arial"/>
                <w:bCs/>
              </w:rPr>
              <w:t>, and develop</w:t>
            </w:r>
            <w:r w:rsidRPr="00715C19">
              <w:rPr>
                <w:rFonts w:cs="Arial"/>
                <w:bCs/>
              </w:rPr>
              <w:t xml:space="preserve"> their chosen individual part</w:t>
            </w:r>
          </w:p>
          <w:p w14:paraId="0371BA66" w14:textId="77777777" w:rsidR="00532263" w:rsidRPr="00715C19" w:rsidRDefault="00532263" w:rsidP="00A36779">
            <w:pPr>
              <w:pStyle w:val="NoSpacing"/>
              <w:rPr>
                <w:rFonts w:cs="Arial"/>
                <w:bCs/>
              </w:rPr>
            </w:pPr>
          </w:p>
          <w:p w14:paraId="659918AE" w14:textId="03FD7659" w:rsidR="00A36779" w:rsidRPr="00715C19" w:rsidRDefault="00532263" w:rsidP="00D977A3">
            <w:pPr>
              <w:pStyle w:val="NoSpacing"/>
              <w:rPr>
                <w:rFonts w:cs="Arial"/>
                <w:bCs/>
              </w:rPr>
            </w:pPr>
            <w:r w:rsidRPr="00715C19">
              <w:rPr>
                <w:rFonts w:cs="Arial"/>
                <w:bCs/>
              </w:rPr>
              <w:t>Collaborate</w:t>
            </w:r>
            <w:r w:rsidR="00DE0DC5" w:rsidRPr="00715C19">
              <w:rPr>
                <w:rFonts w:cs="Arial"/>
                <w:bCs/>
              </w:rPr>
              <w:t>, support</w:t>
            </w:r>
            <w:r w:rsidRPr="00715C19">
              <w:rPr>
                <w:rFonts w:cs="Arial"/>
                <w:bCs/>
              </w:rPr>
              <w:t xml:space="preserve"> a</w:t>
            </w:r>
            <w:r w:rsidR="00D977A3" w:rsidRPr="00715C19">
              <w:rPr>
                <w:rFonts w:cs="Arial"/>
                <w:bCs/>
              </w:rPr>
              <w:t>nd u</w:t>
            </w:r>
            <w:r w:rsidRPr="00715C19">
              <w:rPr>
                <w:rFonts w:cs="Arial"/>
                <w:bCs/>
              </w:rPr>
              <w:t>se listening skills in the group to improve the performance</w:t>
            </w:r>
            <w:r w:rsidR="00D977A3" w:rsidRPr="00715C19">
              <w:rPr>
                <w:rFonts w:cs="Arial"/>
                <w:bCs/>
              </w:rPr>
              <w:t>.</w:t>
            </w:r>
          </w:p>
          <w:p w14:paraId="3D54B53C" w14:textId="77777777" w:rsidR="00A36779" w:rsidRPr="00715C19" w:rsidRDefault="00A36779" w:rsidP="00A36779">
            <w:pPr>
              <w:pStyle w:val="NoSpacing"/>
              <w:rPr>
                <w:rFonts w:cs="Arial"/>
                <w:bCs/>
              </w:rPr>
            </w:pPr>
          </w:p>
          <w:p w14:paraId="198C5C2A" w14:textId="72ABD2BC" w:rsidR="00A36779" w:rsidRPr="00715C19" w:rsidRDefault="00532263" w:rsidP="009A5837">
            <w:pPr>
              <w:pStyle w:val="NoSpacing"/>
            </w:pPr>
            <w:r w:rsidRPr="00715C19">
              <w:rPr>
                <w:rFonts w:cs="Arial"/>
                <w:bCs/>
              </w:rPr>
              <w:t>Produce a final performance of the song.</w:t>
            </w:r>
            <w:r w:rsidR="00A36779" w:rsidRPr="00715C19">
              <w:rPr>
                <w:rFonts w:cs="Arial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5142145" w14:textId="77777777" w:rsidR="0084115A" w:rsidRDefault="0084115A" w:rsidP="00532263">
            <w:pPr>
              <w:pStyle w:val="NoSpacing"/>
            </w:pPr>
            <w:r>
              <w:t>Structure</w:t>
            </w:r>
          </w:p>
          <w:p w14:paraId="5206D4B3" w14:textId="77777777" w:rsidR="0084115A" w:rsidRDefault="0084115A" w:rsidP="00532263">
            <w:pPr>
              <w:pStyle w:val="NoSpacing"/>
            </w:pPr>
            <w:r>
              <w:t>Develop</w:t>
            </w:r>
          </w:p>
          <w:p w14:paraId="7D7B1E3A" w14:textId="0B945422" w:rsidR="0084115A" w:rsidRDefault="0084115A" w:rsidP="00532263">
            <w:pPr>
              <w:pStyle w:val="NoSpacing"/>
            </w:pPr>
            <w:r>
              <w:t>Rehearsal</w:t>
            </w:r>
          </w:p>
          <w:p w14:paraId="546C52F9" w14:textId="3D1D5888" w:rsidR="0084115A" w:rsidRDefault="0084115A" w:rsidP="00532263">
            <w:pPr>
              <w:pStyle w:val="NoSpacing"/>
            </w:pPr>
            <w:r>
              <w:t>Collaboration</w:t>
            </w:r>
          </w:p>
          <w:p w14:paraId="7C4F1C54" w14:textId="6B1AC818" w:rsidR="00A36779" w:rsidRPr="00715C19" w:rsidRDefault="00532263" w:rsidP="00532263">
            <w:pPr>
              <w:pStyle w:val="NoSpacing"/>
            </w:pPr>
            <w:r w:rsidRPr="00715C19">
              <w:t>Improve</w:t>
            </w:r>
          </w:p>
          <w:p w14:paraId="2E0B87E7" w14:textId="77777777" w:rsidR="00532263" w:rsidRPr="00715C19" w:rsidRDefault="00532263" w:rsidP="00532263">
            <w:pPr>
              <w:pStyle w:val="NoSpacing"/>
            </w:pPr>
            <w:r w:rsidRPr="00715C19">
              <w:t>Contribute</w:t>
            </w:r>
          </w:p>
          <w:p w14:paraId="0B6986CF" w14:textId="4CCDC74A" w:rsidR="00532263" w:rsidRPr="00715C19" w:rsidRDefault="00532263" w:rsidP="00532263">
            <w:pPr>
              <w:pStyle w:val="NoSpacing"/>
            </w:pPr>
            <w:r w:rsidRPr="00715C19">
              <w:t>Engage</w:t>
            </w:r>
          </w:p>
          <w:p w14:paraId="0D634458" w14:textId="77777777" w:rsidR="00532263" w:rsidRPr="00715C19" w:rsidRDefault="00532263" w:rsidP="00532263">
            <w:pPr>
              <w:pStyle w:val="NoSpacing"/>
            </w:pPr>
            <w:r w:rsidRPr="00715C19">
              <w:t>Participate</w:t>
            </w:r>
          </w:p>
          <w:p w14:paraId="34418B02" w14:textId="0088F589" w:rsidR="00532263" w:rsidRPr="00715C19" w:rsidRDefault="00532263" w:rsidP="00532263">
            <w:pPr>
              <w:pStyle w:val="NoSpacing"/>
            </w:pPr>
            <w:r w:rsidRPr="00715C19">
              <w:t>Share</w:t>
            </w:r>
          </w:p>
          <w:p w14:paraId="21403F2B" w14:textId="4E9712DC" w:rsidR="00532263" w:rsidRPr="00715C19" w:rsidRDefault="00532263" w:rsidP="00532263">
            <w:pPr>
              <w:pStyle w:val="NoSpacing"/>
            </w:pPr>
            <w:r w:rsidRPr="00715C19">
              <w:t>Relate</w:t>
            </w:r>
          </w:p>
          <w:p w14:paraId="6AB9EE5D" w14:textId="58CE5548" w:rsidR="00532263" w:rsidRPr="00715C19" w:rsidRDefault="00532263" w:rsidP="00D02B0E">
            <w:pPr>
              <w:pStyle w:val="NoSpacing"/>
            </w:pPr>
            <w:r w:rsidRPr="00715C19">
              <w:t>Record</w:t>
            </w:r>
          </w:p>
        </w:tc>
        <w:tc>
          <w:tcPr>
            <w:tcW w:w="2268" w:type="dxa"/>
            <w:shd w:val="clear" w:color="auto" w:fill="auto"/>
          </w:tcPr>
          <w:p w14:paraId="35BD194F" w14:textId="77777777" w:rsidR="00A96EC1" w:rsidRPr="00715C19" w:rsidRDefault="00A96EC1" w:rsidP="00A96EC1">
            <w:pPr>
              <w:pStyle w:val="NoSpacing"/>
            </w:pPr>
            <w:r w:rsidRPr="00715C19">
              <w:t>Using the practice rooms at break and lunch to practice individual parts, or a group rehearsal</w:t>
            </w:r>
          </w:p>
          <w:p w14:paraId="0D27BED9" w14:textId="77777777" w:rsidR="00A96EC1" w:rsidRPr="00715C19" w:rsidRDefault="00A96EC1" w:rsidP="00A96EC1">
            <w:pPr>
              <w:pStyle w:val="NoSpacing"/>
            </w:pPr>
          </w:p>
          <w:p w14:paraId="49634000" w14:textId="0DC05E66" w:rsidR="000354B5" w:rsidRPr="00715C19" w:rsidRDefault="00A96EC1" w:rsidP="008A4FF8">
            <w:pPr>
              <w:pStyle w:val="NoSpacing"/>
            </w:pPr>
            <w:r w:rsidRPr="00715C19">
              <w:t xml:space="preserve">Listening to </w:t>
            </w:r>
            <w:r w:rsidR="008A4FF8" w:rsidRPr="00715C19">
              <w:t xml:space="preserve">groups chosen </w:t>
            </w:r>
            <w:r w:rsidRPr="00715C19">
              <w:t xml:space="preserve">song to embed the sound and structure (link on </w:t>
            </w:r>
            <w:hyperlink r:id="rId5" w:history="1">
              <w:r w:rsidRPr="00715C19">
                <w:rPr>
                  <w:rStyle w:val="Hyperlink"/>
                </w:rPr>
                <w:t>http://lpsmusic.co.uk</w:t>
              </w:r>
            </w:hyperlink>
            <w:r w:rsidRPr="00715C19">
              <w:rPr>
                <w:rStyle w:val="Hyperlink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A8ABF3F" w14:textId="77777777" w:rsidR="00042E36" w:rsidRPr="00715C19" w:rsidRDefault="00042E36" w:rsidP="00042E36">
            <w:pPr>
              <w:pStyle w:val="NoSpacing"/>
            </w:pPr>
            <w:r w:rsidRPr="00715C19">
              <w:t>Lesson 1 recording to track progress</w:t>
            </w:r>
          </w:p>
          <w:p w14:paraId="3B8272F3" w14:textId="77777777" w:rsidR="00042E36" w:rsidRPr="00715C19" w:rsidRDefault="00042E36" w:rsidP="00042E36">
            <w:pPr>
              <w:pStyle w:val="NoSpacing"/>
            </w:pPr>
          </w:p>
          <w:p w14:paraId="47D7A40F" w14:textId="0D7EB2D1" w:rsidR="00042E36" w:rsidRPr="00715C19" w:rsidRDefault="00042E36" w:rsidP="00042E36">
            <w:pPr>
              <w:pStyle w:val="NoSpacing"/>
            </w:pPr>
            <w:r w:rsidRPr="00715C19">
              <w:t>Target based feedback in practice spaces using progress sheets</w:t>
            </w:r>
            <w:r w:rsidR="00305F12" w:rsidRPr="00715C19">
              <w:t>. Push towards development of individual parts.</w:t>
            </w:r>
          </w:p>
          <w:p w14:paraId="7BF68613" w14:textId="77777777" w:rsidR="00042E36" w:rsidRPr="00715C19" w:rsidRDefault="00042E36" w:rsidP="001900A7">
            <w:pPr>
              <w:pStyle w:val="NoSpacing"/>
            </w:pPr>
          </w:p>
          <w:p w14:paraId="64E0C247" w14:textId="6E90B1E9" w:rsidR="000354B5" w:rsidRPr="00715C19" w:rsidRDefault="00042E36" w:rsidP="001900A7">
            <w:pPr>
              <w:pStyle w:val="NoSpacing"/>
            </w:pPr>
            <w:r w:rsidRPr="00715C19">
              <w:t xml:space="preserve">Final performance of </w:t>
            </w:r>
            <w:r w:rsidR="00305F12" w:rsidRPr="00715C19">
              <w:t>Popular song</w:t>
            </w:r>
            <w:r w:rsidRPr="00715C19">
              <w:t>, with peer feedback</w:t>
            </w:r>
          </w:p>
        </w:tc>
        <w:tc>
          <w:tcPr>
            <w:tcW w:w="1843" w:type="dxa"/>
            <w:shd w:val="clear" w:color="auto" w:fill="auto"/>
          </w:tcPr>
          <w:p w14:paraId="07BF406A" w14:textId="77777777" w:rsidR="000354B5" w:rsidRPr="00715C19" w:rsidRDefault="00504806" w:rsidP="008A4FF8">
            <w:pPr>
              <w:pStyle w:val="NoSpacing"/>
            </w:pPr>
            <w:r w:rsidRPr="00715C19">
              <w:t>Compare original songs and cover versions.</w:t>
            </w:r>
          </w:p>
          <w:p w14:paraId="3B104B3A" w14:textId="77777777" w:rsidR="00504806" w:rsidRPr="00715C19" w:rsidRDefault="00504806" w:rsidP="008A4FF8">
            <w:pPr>
              <w:pStyle w:val="NoSpacing"/>
            </w:pPr>
          </w:p>
          <w:p w14:paraId="2B2E85FF" w14:textId="1C86CCAA" w:rsidR="00504806" w:rsidRPr="00715C19" w:rsidRDefault="00504806" w:rsidP="008A4FF8">
            <w:pPr>
              <w:pStyle w:val="NoSpacing"/>
            </w:pPr>
            <w:r w:rsidRPr="00715C19">
              <w:t>Watch videos about the making of songs.</w:t>
            </w:r>
          </w:p>
        </w:tc>
        <w:tc>
          <w:tcPr>
            <w:tcW w:w="2835" w:type="dxa"/>
            <w:shd w:val="clear" w:color="auto" w:fill="auto"/>
          </w:tcPr>
          <w:p w14:paraId="140FE5F4" w14:textId="74F2A5DD" w:rsidR="00A0061B" w:rsidRPr="00715C19" w:rsidRDefault="00A0061B" w:rsidP="00D02B0E">
            <w:pPr>
              <w:pStyle w:val="NoSpacing"/>
            </w:pPr>
            <w:r w:rsidRPr="00715C19">
              <w:t xml:space="preserve">Cover versions which charted higher than the originals - </w:t>
            </w:r>
            <w:hyperlink r:id="rId6" w:history="1">
              <w:r w:rsidRPr="00715C19">
                <w:rPr>
                  <w:rStyle w:val="Hyperlink"/>
                </w:rPr>
                <w:t>https://www.officialcharts.com/chart-news/cover-versions-that-charted-higher-than-the-originals__18770/</w:t>
              </w:r>
            </w:hyperlink>
          </w:p>
          <w:p w14:paraId="26CB2CD8" w14:textId="77777777" w:rsidR="00A0061B" w:rsidRPr="00715C19" w:rsidRDefault="00A0061B" w:rsidP="00D02B0E">
            <w:pPr>
              <w:pStyle w:val="NoSpacing"/>
            </w:pPr>
          </w:p>
          <w:p w14:paraId="6BD2F479" w14:textId="40F58A65" w:rsidR="00576A35" w:rsidRPr="00715C19" w:rsidRDefault="00A0061B" w:rsidP="00D02B0E">
            <w:pPr>
              <w:pStyle w:val="NoSpacing"/>
            </w:pPr>
            <w:r w:rsidRPr="00715C19">
              <w:t xml:space="preserve">Watch Kygo working on Higher Love - </w:t>
            </w:r>
            <w:hyperlink r:id="rId7" w:history="1">
              <w:r w:rsidRPr="00715C19">
                <w:rPr>
                  <w:rStyle w:val="Hyperlink"/>
                </w:rPr>
                <w:t>https://www.youtube.com/watch?v=OCe-6UprFGo</w:t>
              </w:r>
            </w:hyperlink>
          </w:p>
        </w:tc>
      </w:tr>
    </w:tbl>
    <w:p w14:paraId="7C151D00" w14:textId="72B09A07" w:rsidR="00D02B0E" w:rsidRDefault="00D02B0E" w:rsidP="004017E1"/>
    <w:sectPr w:rsidR="00D02B0E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2219"/>
    <w:multiLevelType w:val="hybridMultilevel"/>
    <w:tmpl w:val="A9C8C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354B5"/>
    <w:rsid w:val="00042E36"/>
    <w:rsid w:val="00170595"/>
    <w:rsid w:val="00176F6A"/>
    <w:rsid w:val="001900A7"/>
    <w:rsid w:val="001A4E94"/>
    <w:rsid w:val="00225B54"/>
    <w:rsid w:val="00305F12"/>
    <w:rsid w:val="00332952"/>
    <w:rsid w:val="00366EF9"/>
    <w:rsid w:val="0036736E"/>
    <w:rsid w:val="003B6A1E"/>
    <w:rsid w:val="003E0143"/>
    <w:rsid w:val="004017E1"/>
    <w:rsid w:val="00405A63"/>
    <w:rsid w:val="004839F8"/>
    <w:rsid w:val="00504806"/>
    <w:rsid w:val="00532263"/>
    <w:rsid w:val="00547EC7"/>
    <w:rsid w:val="00576A35"/>
    <w:rsid w:val="006805AB"/>
    <w:rsid w:val="006D3989"/>
    <w:rsid w:val="00715C19"/>
    <w:rsid w:val="00721350"/>
    <w:rsid w:val="007D7D7E"/>
    <w:rsid w:val="007F1EC2"/>
    <w:rsid w:val="0080072F"/>
    <w:rsid w:val="0084115A"/>
    <w:rsid w:val="00886511"/>
    <w:rsid w:val="008A4882"/>
    <w:rsid w:val="008A4FF8"/>
    <w:rsid w:val="00912B88"/>
    <w:rsid w:val="00964FEA"/>
    <w:rsid w:val="009A5837"/>
    <w:rsid w:val="009B6D88"/>
    <w:rsid w:val="009C39D0"/>
    <w:rsid w:val="009C6686"/>
    <w:rsid w:val="00A0061B"/>
    <w:rsid w:val="00A36779"/>
    <w:rsid w:val="00A46347"/>
    <w:rsid w:val="00A96EC1"/>
    <w:rsid w:val="00AF5436"/>
    <w:rsid w:val="00C97343"/>
    <w:rsid w:val="00D02B0E"/>
    <w:rsid w:val="00D05FEB"/>
    <w:rsid w:val="00D06E03"/>
    <w:rsid w:val="00D977A3"/>
    <w:rsid w:val="00DB4DEA"/>
    <w:rsid w:val="00DC4AE8"/>
    <w:rsid w:val="00DE0DC5"/>
    <w:rsid w:val="00DF4BF4"/>
    <w:rsid w:val="00E65981"/>
    <w:rsid w:val="00E92685"/>
    <w:rsid w:val="00E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E1271AD6-9AC5-4FC3-8213-E756CABA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Ce-6UprF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fficialcharts.com/chart-news/cover-versions-that-charted-higher-than-the-originals__18770/" TargetMode="External"/><Relationship Id="rId5" Type="http://schemas.openxmlformats.org/officeDocument/2006/relationships/hyperlink" Target="http://lpsmusic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19</cp:revision>
  <dcterms:created xsi:type="dcterms:W3CDTF">2019-12-19T14:46:00Z</dcterms:created>
  <dcterms:modified xsi:type="dcterms:W3CDTF">2022-10-11T11:18:00Z</dcterms:modified>
</cp:coreProperties>
</file>