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2977"/>
        <w:gridCol w:w="1701"/>
        <w:gridCol w:w="1843"/>
        <w:gridCol w:w="1843"/>
        <w:gridCol w:w="2126"/>
        <w:gridCol w:w="1559"/>
      </w:tblGrid>
      <w:tr w:rsidR="001C1507" w:rsidTr="0046196A">
        <w:tc>
          <w:tcPr>
            <w:tcW w:w="2943" w:type="dxa"/>
            <w:gridSpan w:val="2"/>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2E0164">
              <w:t>9</w:t>
            </w:r>
            <w:r w:rsidR="006C2B20">
              <w:t xml:space="preserve"> Dance 1st</w:t>
            </w:r>
            <w:r w:rsidR="004B623E">
              <w:t xml:space="preserve"> Unit </w:t>
            </w:r>
          </w:p>
        </w:tc>
        <w:tc>
          <w:tcPr>
            <w:tcW w:w="12049" w:type="dxa"/>
            <w:gridSpan w:val="6"/>
            <w:tcBorders>
              <w:top w:val="single" w:sz="4" w:space="0" w:color="auto"/>
              <w:left w:val="single" w:sz="4" w:space="0" w:color="auto"/>
              <w:bottom w:val="single" w:sz="4" w:space="0" w:color="auto"/>
              <w:right w:val="single" w:sz="4" w:space="0" w:color="auto"/>
            </w:tcBorders>
          </w:tcPr>
          <w:p w:rsidR="001C1507" w:rsidRDefault="001C1507">
            <w:pPr>
              <w:pStyle w:val="NoSpacing"/>
            </w:pP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2E0164">
            <w:pPr>
              <w:pStyle w:val="NoSpacing"/>
              <w:rPr>
                <w:b/>
              </w:rPr>
            </w:pPr>
            <w:r w:rsidRPr="001C1507">
              <w:rPr>
                <w:b/>
                <w:sz w:val="44"/>
                <w:u w:val="single"/>
                <w:lang w:val="fr-FR"/>
              </w:rPr>
              <w:t>Enquiry Question:</w:t>
            </w:r>
            <w:r w:rsidR="0093733A">
              <w:rPr>
                <w:b/>
                <w:sz w:val="44"/>
                <w:lang w:val="fr-FR"/>
              </w:rPr>
              <w:t xml:space="preserve"> How does having a stimulus impact choreography and performance for an audience ?</w:t>
            </w: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2E0164">
              <w:rPr>
                <w:b/>
                <w:sz w:val="32"/>
                <w:szCs w:val="32"/>
              </w:rPr>
              <w:t>War as a stimulus for choreography</w:t>
            </w:r>
          </w:p>
          <w:p w:rsidR="00991F0E" w:rsidRDefault="00991F0E" w:rsidP="00254330">
            <w:pPr>
              <w:pStyle w:val="NoSpacing"/>
              <w:rPr>
                <w:b/>
                <w:sz w:val="32"/>
                <w:szCs w:val="32"/>
              </w:rPr>
            </w:pPr>
            <w:r>
              <w:rPr>
                <w:b/>
                <w:sz w:val="32"/>
                <w:szCs w:val="32"/>
              </w:rPr>
              <w:t>Why now?</w:t>
            </w:r>
            <w:r w:rsidR="00327756">
              <w:rPr>
                <w:b/>
                <w:sz w:val="32"/>
                <w:szCs w:val="32"/>
              </w:rPr>
              <w:t xml:space="preserve"> </w:t>
            </w:r>
            <w:r w:rsidR="00327756">
              <w:t>This unit builds upon knowledge and skills</w:t>
            </w:r>
            <w:r w:rsidR="005E384D">
              <w:t xml:space="preserve"> in choreography, performance and appreciation in Year 7 and 8 units of work. Students have an understanding of the key technical skills in dance actions, space, relationships and dynamics and how to create dances with them. Students understand what makes an excellent performance using expressive and physical skills in dance.</w:t>
            </w:r>
            <w:r w:rsidR="00254330">
              <w:t xml:space="preserve"> </w:t>
            </w:r>
            <w:r w:rsidR="00254330" w:rsidRPr="0015292F">
              <w:t xml:space="preserve">Students will learn how to create and develop movement material that communicates a serious narrative, in this case war, particularly WW1 and WW2. The unit uses three different professional works to help pupils engage in different choreographic approaches. This unit requires pupils to respond in a mature and creative way in order to get the message across to an audience. </w:t>
            </w:r>
          </w:p>
        </w:tc>
      </w:tr>
      <w:tr w:rsidR="001C1507" w:rsidTr="00BC4A27">
        <w:tc>
          <w:tcPr>
            <w:tcW w:w="2518"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Knowledge</w:t>
            </w:r>
          </w:p>
          <w:p w:rsidR="001C1507" w:rsidRDefault="001C1507">
            <w:pPr>
              <w:pStyle w:val="NoSpacing"/>
              <w:rPr>
                <w:b/>
              </w:rPr>
            </w:pPr>
            <w:r>
              <w:t>Students will know about…</w:t>
            </w:r>
          </w:p>
        </w:tc>
        <w:tc>
          <w:tcPr>
            <w:tcW w:w="3402" w:type="dxa"/>
            <w:gridSpan w:val="2"/>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Application/Skills</w:t>
            </w:r>
          </w:p>
          <w:p w:rsidR="001C1507" w:rsidRDefault="001C1507">
            <w:pPr>
              <w:pStyle w:val="NoSpacing"/>
            </w:pPr>
            <w:r>
              <w:t>Students will be able to…</w:t>
            </w:r>
          </w:p>
        </w:tc>
        <w:tc>
          <w:tcPr>
            <w:tcW w:w="1701"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Vocabulary</w:t>
            </w:r>
          </w:p>
          <w:p w:rsidR="001C1507" w:rsidRDefault="001C1507">
            <w:pPr>
              <w:pStyle w:val="NoSpacing"/>
              <w:rPr>
                <w:i/>
              </w:rPr>
            </w:pPr>
            <w:r>
              <w:rPr>
                <w:i/>
              </w:rPr>
              <w:t>(Tier 2 and 3)</w:t>
            </w:r>
          </w:p>
        </w:tc>
        <w:tc>
          <w:tcPr>
            <w:tcW w:w="184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Home Learning</w:t>
            </w:r>
          </w:p>
        </w:tc>
        <w:tc>
          <w:tcPr>
            <w:tcW w:w="184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Assessment</w:t>
            </w:r>
          </w:p>
        </w:tc>
        <w:tc>
          <w:tcPr>
            <w:tcW w:w="2126"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Extra Resources</w:t>
            </w:r>
          </w:p>
          <w:p w:rsidR="001C1507" w:rsidRDefault="001C1507">
            <w:pPr>
              <w:pStyle w:val="NoSpacing"/>
            </w:pPr>
            <w:r>
              <w:t>Extended Reading</w:t>
            </w:r>
          </w:p>
        </w:tc>
        <w:tc>
          <w:tcPr>
            <w:tcW w:w="1559" w:type="dxa"/>
            <w:tcBorders>
              <w:top w:val="single" w:sz="4" w:space="0" w:color="auto"/>
              <w:left w:val="single" w:sz="4" w:space="0" w:color="auto"/>
              <w:bottom w:val="single" w:sz="4" w:space="0" w:color="auto"/>
              <w:right w:val="single" w:sz="4" w:space="0" w:color="auto"/>
            </w:tcBorders>
          </w:tcPr>
          <w:p w:rsidR="001C1507" w:rsidRDefault="001C1507">
            <w:pPr>
              <w:pStyle w:val="NoSpacing"/>
            </w:pPr>
            <w:r>
              <w:t>Cultural Capital</w:t>
            </w:r>
          </w:p>
          <w:p w:rsidR="001C1507" w:rsidRDefault="001C1507">
            <w:pPr>
              <w:pStyle w:val="NoSpacing"/>
            </w:pPr>
          </w:p>
        </w:tc>
      </w:tr>
      <w:tr w:rsidR="001C1507" w:rsidRPr="001C1507" w:rsidTr="00BC4A27">
        <w:trPr>
          <w:trHeight w:val="5526"/>
        </w:trPr>
        <w:tc>
          <w:tcPr>
            <w:tcW w:w="2518" w:type="dxa"/>
            <w:tcBorders>
              <w:top w:val="single" w:sz="4" w:space="0" w:color="auto"/>
              <w:left w:val="single" w:sz="4" w:space="0" w:color="auto"/>
              <w:bottom w:val="single" w:sz="4" w:space="0" w:color="auto"/>
              <w:right w:val="single" w:sz="4" w:space="0" w:color="auto"/>
            </w:tcBorders>
          </w:tcPr>
          <w:p w:rsidR="005F500E" w:rsidRDefault="005A02A0" w:rsidP="005F500E">
            <w:pPr>
              <w:pStyle w:val="NoSpacing"/>
            </w:pPr>
            <w:r>
              <w:t>-</w:t>
            </w:r>
            <w:r w:rsidR="005F500E">
              <w:t>Brief history of WW1 and WW2</w:t>
            </w:r>
          </w:p>
          <w:p w:rsidR="005F500E" w:rsidRDefault="005F500E" w:rsidP="005F500E">
            <w:pPr>
              <w:pStyle w:val="NoSpacing"/>
            </w:pPr>
            <w:r>
              <w:t>- Professional works, their stimulus and intentions</w:t>
            </w:r>
          </w:p>
          <w:p w:rsidR="005F500E" w:rsidRDefault="005F500E" w:rsidP="005F500E">
            <w:pPr>
              <w:pStyle w:val="NoSpacing"/>
            </w:pPr>
            <w:r>
              <w:t xml:space="preserve">- Choreographic content to communicate a theme </w:t>
            </w:r>
          </w:p>
          <w:p w:rsidR="005F500E" w:rsidRDefault="005F500E" w:rsidP="005F500E">
            <w:pPr>
              <w:pStyle w:val="NoSpacing"/>
            </w:pPr>
            <w:r>
              <w:t>- Creating and developing movement material</w:t>
            </w:r>
          </w:p>
          <w:p w:rsidR="005F500E" w:rsidRDefault="005F500E" w:rsidP="005F500E">
            <w:pPr>
              <w:pStyle w:val="NoSpacing"/>
            </w:pPr>
            <w:r>
              <w:t>- Choreographic processes and approaches when creating choreography</w:t>
            </w:r>
          </w:p>
          <w:p w:rsidR="0093733A" w:rsidRDefault="0093733A" w:rsidP="005F500E">
            <w:pPr>
              <w:pStyle w:val="NoSpacing"/>
            </w:pPr>
            <w:r>
              <w:t>-Selecting appropriate features of production - aural setting, set design, costumes and props</w:t>
            </w:r>
          </w:p>
          <w:p w:rsidR="005F500E" w:rsidRDefault="005F500E" w:rsidP="005F500E">
            <w:pPr>
              <w:pStyle w:val="NoSpacing"/>
            </w:pPr>
            <w:r>
              <w:t>- Reviewing, analysing, evaluating and refining their work and the work of others</w:t>
            </w:r>
          </w:p>
          <w:p w:rsidR="00F5436E" w:rsidRPr="005E384D" w:rsidRDefault="00F5436E" w:rsidP="005A02A0">
            <w:pPr>
              <w:pStyle w:val="NoSpacing"/>
            </w:pPr>
            <w: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9C5067" w:rsidRDefault="005F500E" w:rsidP="005F500E">
            <w:pPr>
              <w:pStyle w:val="NoSpacing"/>
            </w:pPr>
            <w:r>
              <w:t xml:space="preserve">-Watch, analyse and interpret professional works with a focus on themes of war, poverty and fear </w:t>
            </w:r>
          </w:p>
          <w:p w:rsidR="005F500E" w:rsidRDefault="005F500E" w:rsidP="005F500E">
            <w:pPr>
              <w:pStyle w:val="NoSpacing"/>
            </w:pPr>
            <w:r>
              <w:t xml:space="preserve">- Compare similarities and differences between the themes, approaches, devices and style in 3 professional works </w:t>
            </w:r>
          </w:p>
          <w:p w:rsidR="005F500E" w:rsidRDefault="005F500E" w:rsidP="005F500E">
            <w:pPr>
              <w:pStyle w:val="NoSpacing"/>
            </w:pPr>
            <w:r>
              <w:t>-</w:t>
            </w:r>
            <w:r w:rsidR="00351B05">
              <w:t>Perform repertoire from professional works</w:t>
            </w:r>
          </w:p>
          <w:p w:rsidR="00351B05" w:rsidRDefault="00351B05" w:rsidP="005F500E">
            <w:pPr>
              <w:pStyle w:val="NoSpacing"/>
            </w:pPr>
            <w:r>
              <w:t>-Create and develop movement material to communicate a serious narrative using approaches</w:t>
            </w:r>
          </w:p>
          <w:p w:rsidR="00351B05" w:rsidRDefault="00351B05" w:rsidP="005F500E">
            <w:pPr>
              <w:pStyle w:val="NoSpacing"/>
            </w:pPr>
            <w:r>
              <w:t xml:space="preserve">-Structure choreography to communicate meaning </w:t>
            </w:r>
          </w:p>
          <w:p w:rsidR="0093733A" w:rsidRDefault="00657743" w:rsidP="005F500E">
            <w:pPr>
              <w:pStyle w:val="NoSpacing"/>
            </w:pPr>
            <w:r>
              <w:t>-Design and e</w:t>
            </w:r>
            <w:r w:rsidR="0093733A">
              <w:t xml:space="preserve">xplain selection of aural setting, set, costumes and props </w:t>
            </w:r>
          </w:p>
          <w:p w:rsidR="00351B05" w:rsidRDefault="00351B05" w:rsidP="005F500E">
            <w:pPr>
              <w:pStyle w:val="NoSpacing"/>
            </w:pPr>
            <w:r>
              <w:t>-Embed physical and expressive skills throughout performance to captivate an audience</w:t>
            </w:r>
          </w:p>
          <w:p w:rsidR="00351B05" w:rsidRDefault="00351B05" w:rsidP="005F500E">
            <w:pPr>
              <w:pStyle w:val="NoSpacing"/>
            </w:pPr>
            <w:r>
              <w:t xml:space="preserve">-Perform to a live audience communicating a narrative </w:t>
            </w:r>
          </w:p>
          <w:p w:rsidR="00351B05" w:rsidRPr="00752F09" w:rsidRDefault="00351B05" w:rsidP="005F500E">
            <w:pPr>
              <w:pStyle w:val="NoSpacing"/>
            </w:pPr>
            <w:r>
              <w:t xml:space="preserve">-Evaluate and refine work </w:t>
            </w:r>
          </w:p>
        </w:tc>
        <w:tc>
          <w:tcPr>
            <w:tcW w:w="1701" w:type="dxa"/>
            <w:tcBorders>
              <w:top w:val="single" w:sz="4" w:space="0" w:color="auto"/>
              <w:left w:val="single" w:sz="4" w:space="0" w:color="auto"/>
              <w:bottom w:val="single" w:sz="4" w:space="0" w:color="auto"/>
              <w:right w:val="single" w:sz="4" w:space="0" w:color="auto"/>
            </w:tcBorders>
          </w:tcPr>
          <w:p w:rsidR="00C5623F" w:rsidRPr="005F500E" w:rsidRDefault="00C5623F" w:rsidP="00090464">
            <w:pPr>
              <w:pStyle w:val="NoSpacing"/>
              <w:rPr>
                <w:sz w:val="20"/>
              </w:rPr>
            </w:pPr>
            <w:r w:rsidRPr="005F500E">
              <w:rPr>
                <w:sz w:val="20"/>
              </w:rPr>
              <w:t>Stimulus</w:t>
            </w:r>
            <w:r w:rsidR="005F500E" w:rsidRPr="005F500E">
              <w:rPr>
                <w:sz w:val="20"/>
              </w:rPr>
              <w:t xml:space="preserve"> and choreographic intention</w:t>
            </w:r>
          </w:p>
          <w:p w:rsidR="00C5623F" w:rsidRPr="005F500E" w:rsidRDefault="00C5623F" w:rsidP="00090464">
            <w:pPr>
              <w:pStyle w:val="NoSpacing"/>
              <w:rPr>
                <w:sz w:val="20"/>
              </w:rPr>
            </w:pPr>
          </w:p>
          <w:p w:rsidR="00C5623F" w:rsidRPr="005F500E" w:rsidRDefault="00C5623F" w:rsidP="00090464">
            <w:pPr>
              <w:pStyle w:val="NoSpacing"/>
              <w:rPr>
                <w:sz w:val="20"/>
              </w:rPr>
            </w:pPr>
            <w:r w:rsidRPr="005F500E">
              <w:rPr>
                <w:sz w:val="20"/>
              </w:rPr>
              <w:t>Choreographic approach</w:t>
            </w:r>
          </w:p>
          <w:p w:rsidR="00C5623F" w:rsidRPr="005F500E" w:rsidRDefault="00C5623F" w:rsidP="00090464">
            <w:pPr>
              <w:pStyle w:val="NoSpacing"/>
              <w:rPr>
                <w:sz w:val="20"/>
              </w:rPr>
            </w:pPr>
          </w:p>
          <w:p w:rsidR="00C5623F" w:rsidRPr="005F500E" w:rsidRDefault="00C5623F" w:rsidP="00090464">
            <w:pPr>
              <w:pStyle w:val="NoSpacing"/>
              <w:rPr>
                <w:sz w:val="20"/>
              </w:rPr>
            </w:pPr>
            <w:r w:rsidRPr="005F500E">
              <w:rPr>
                <w:sz w:val="20"/>
              </w:rPr>
              <w:t>Choreographic devices</w:t>
            </w:r>
          </w:p>
          <w:p w:rsidR="00C5623F" w:rsidRPr="005F500E" w:rsidRDefault="00C5623F" w:rsidP="00090464">
            <w:pPr>
              <w:pStyle w:val="NoSpacing"/>
              <w:rPr>
                <w:sz w:val="20"/>
              </w:rPr>
            </w:pPr>
          </w:p>
          <w:p w:rsidR="00C5623F" w:rsidRPr="005F500E" w:rsidRDefault="00C5623F" w:rsidP="00090464">
            <w:pPr>
              <w:pStyle w:val="NoSpacing"/>
              <w:rPr>
                <w:sz w:val="20"/>
              </w:rPr>
            </w:pPr>
            <w:r w:rsidRPr="005F500E">
              <w:rPr>
                <w:sz w:val="20"/>
              </w:rPr>
              <w:t>Transitions</w:t>
            </w:r>
          </w:p>
          <w:p w:rsidR="00C5623F" w:rsidRPr="005F500E" w:rsidRDefault="00C5623F" w:rsidP="00090464">
            <w:pPr>
              <w:pStyle w:val="NoSpacing"/>
              <w:rPr>
                <w:sz w:val="20"/>
              </w:rPr>
            </w:pPr>
          </w:p>
          <w:p w:rsidR="00C5623F" w:rsidRPr="005F500E" w:rsidRDefault="00C5623F" w:rsidP="00090464">
            <w:pPr>
              <w:pStyle w:val="NoSpacing"/>
              <w:rPr>
                <w:sz w:val="20"/>
              </w:rPr>
            </w:pPr>
            <w:r w:rsidRPr="005F500E">
              <w:rPr>
                <w:sz w:val="20"/>
              </w:rPr>
              <w:t>Features of production</w:t>
            </w:r>
          </w:p>
          <w:p w:rsidR="00C5623F" w:rsidRPr="005F500E" w:rsidRDefault="00C5623F" w:rsidP="00090464">
            <w:pPr>
              <w:pStyle w:val="NoSpacing"/>
              <w:rPr>
                <w:sz w:val="20"/>
              </w:rPr>
            </w:pPr>
          </w:p>
          <w:p w:rsidR="00C5623F" w:rsidRPr="005F500E" w:rsidRDefault="00C5623F" w:rsidP="00090464">
            <w:pPr>
              <w:pStyle w:val="NoSpacing"/>
              <w:rPr>
                <w:sz w:val="20"/>
              </w:rPr>
            </w:pPr>
            <w:r w:rsidRPr="005F500E">
              <w:rPr>
                <w:sz w:val="20"/>
              </w:rPr>
              <w:t>Choreographic processes</w:t>
            </w:r>
          </w:p>
          <w:p w:rsidR="00C5623F" w:rsidRPr="005F500E" w:rsidRDefault="00C5623F" w:rsidP="00090464">
            <w:pPr>
              <w:pStyle w:val="NoSpacing"/>
              <w:rPr>
                <w:sz w:val="20"/>
              </w:rPr>
            </w:pPr>
          </w:p>
          <w:p w:rsidR="005F500E" w:rsidRPr="005F500E" w:rsidRDefault="00C5623F" w:rsidP="00090464">
            <w:pPr>
              <w:pStyle w:val="NoSpacing"/>
              <w:rPr>
                <w:sz w:val="20"/>
              </w:rPr>
            </w:pPr>
            <w:r w:rsidRPr="005F500E">
              <w:rPr>
                <w:sz w:val="20"/>
              </w:rPr>
              <w:t>Structuring devices</w:t>
            </w:r>
          </w:p>
          <w:p w:rsidR="005F500E" w:rsidRPr="005F500E" w:rsidRDefault="005F500E" w:rsidP="00090464">
            <w:pPr>
              <w:pStyle w:val="NoSpacing"/>
              <w:rPr>
                <w:sz w:val="20"/>
              </w:rPr>
            </w:pPr>
          </w:p>
          <w:p w:rsidR="00F5436E" w:rsidRPr="00BC4A27" w:rsidRDefault="005F500E" w:rsidP="00090464">
            <w:pPr>
              <w:pStyle w:val="NoSpacing"/>
              <w:rPr>
                <w:sz w:val="20"/>
              </w:rPr>
            </w:pPr>
            <w:r w:rsidRPr="005F500E">
              <w:rPr>
                <w:sz w:val="20"/>
              </w:rPr>
              <w:t>Physical and expressive skills to help communicate a serious narrative</w:t>
            </w:r>
            <w:r w:rsidR="00F5436E">
              <w:t xml:space="preserve"> </w:t>
            </w:r>
          </w:p>
        </w:tc>
        <w:tc>
          <w:tcPr>
            <w:tcW w:w="1843" w:type="dxa"/>
            <w:tcBorders>
              <w:top w:val="single" w:sz="4" w:space="0" w:color="auto"/>
              <w:left w:val="single" w:sz="4" w:space="0" w:color="auto"/>
              <w:bottom w:val="single" w:sz="4" w:space="0" w:color="auto"/>
              <w:right w:val="single" w:sz="4" w:space="0" w:color="auto"/>
            </w:tcBorders>
          </w:tcPr>
          <w:p w:rsidR="00944646" w:rsidRPr="0093733A" w:rsidRDefault="0093733A">
            <w:pPr>
              <w:pStyle w:val="NoSpacing"/>
              <w:rPr>
                <w:sz w:val="20"/>
              </w:rPr>
            </w:pPr>
            <w:r w:rsidRPr="0093733A">
              <w:rPr>
                <w:sz w:val="20"/>
              </w:rPr>
              <w:t>Rehearse with your group outside of lesson time once during the term in the Dance studio</w:t>
            </w:r>
          </w:p>
          <w:p w:rsidR="0093733A" w:rsidRPr="0093733A" w:rsidRDefault="0093733A">
            <w:pPr>
              <w:pStyle w:val="NoSpacing"/>
              <w:rPr>
                <w:sz w:val="20"/>
              </w:rPr>
            </w:pPr>
          </w:p>
          <w:p w:rsidR="0093733A" w:rsidRPr="0093733A" w:rsidRDefault="0093733A">
            <w:pPr>
              <w:pStyle w:val="NoSpacing"/>
              <w:rPr>
                <w:sz w:val="20"/>
              </w:rPr>
            </w:pPr>
            <w:r w:rsidRPr="0093733A">
              <w:rPr>
                <w:sz w:val="20"/>
              </w:rPr>
              <w:t xml:space="preserve">Create your own costume, set and props plan for your performance and bring at least 1 item to your assessment lesson to add to your performance </w:t>
            </w:r>
          </w:p>
          <w:p w:rsidR="0093733A" w:rsidRPr="0093733A" w:rsidRDefault="0093733A">
            <w:pPr>
              <w:pStyle w:val="NoSpacing"/>
              <w:rPr>
                <w:sz w:val="20"/>
              </w:rPr>
            </w:pPr>
          </w:p>
          <w:p w:rsidR="0093733A" w:rsidRDefault="0093733A">
            <w:pPr>
              <w:pStyle w:val="NoSpacing"/>
            </w:pPr>
            <w:r w:rsidRPr="0093733A">
              <w:rPr>
                <w:sz w:val="20"/>
              </w:rPr>
              <w:t xml:space="preserve">Create a programme note for your choreography to inform an audience about why and how you created your piece including aural setting, costume and props. </w:t>
            </w:r>
          </w:p>
        </w:tc>
        <w:tc>
          <w:tcPr>
            <w:tcW w:w="1843" w:type="dxa"/>
            <w:tcBorders>
              <w:top w:val="single" w:sz="4" w:space="0" w:color="auto"/>
              <w:left w:val="single" w:sz="4" w:space="0" w:color="auto"/>
              <w:bottom w:val="single" w:sz="4" w:space="0" w:color="auto"/>
              <w:right w:val="single" w:sz="4" w:space="0" w:color="auto"/>
            </w:tcBorders>
          </w:tcPr>
          <w:p w:rsidR="001C1507" w:rsidRDefault="00944646" w:rsidP="00254330">
            <w:pPr>
              <w:pStyle w:val="NoSpacing"/>
            </w:pPr>
            <w:r>
              <w:t xml:space="preserve">Choreography and Performance of </w:t>
            </w:r>
            <w:r w:rsidR="00254330">
              <w:t xml:space="preserve">amalgamation of 3 professional work themes – Young Men, Dust and Shadows. </w:t>
            </w:r>
          </w:p>
        </w:tc>
        <w:tc>
          <w:tcPr>
            <w:tcW w:w="2126" w:type="dxa"/>
            <w:tcBorders>
              <w:top w:val="single" w:sz="4" w:space="0" w:color="auto"/>
              <w:left w:val="single" w:sz="4" w:space="0" w:color="auto"/>
              <w:bottom w:val="single" w:sz="4" w:space="0" w:color="auto"/>
              <w:right w:val="single" w:sz="4" w:space="0" w:color="auto"/>
            </w:tcBorders>
          </w:tcPr>
          <w:p w:rsidR="00090464" w:rsidRDefault="00C5623F">
            <w:pPr>
              <w:pStyle w:val="NoSpacing"/>
            </w:pPr>
            <w:hyperlink r:id="rId5" w:history="1">
              <w:r w:rsidRPr="00D723A3">
                <w:rPr>
                  <w:rStyle w:val="Hyperlink"/>
                </w:rPr>
                <w:t>https://www.balletboyz.com/about</w:t>
              </w:r>
            </w:hyperlink>
          </w:p>
          <w:p w:rsidR="00C5623F" w:rsidRDefault="00C5623F">
            <w:pPr>
              <w:pStyle w:val="NoSpacing"/>
            </w:pPr>
          </w:p>
          <w:p w:rsidR="00C5623F" w:rsidRDefault="005F500E">
            <w:pPr>
              <w:pStyle w:val="NoSpacing"/>
            </w:pPr>
            <w:hyperlink r:id="rId6" w:history="1">
              <w:r w:rsidRPr="00D723A3">
                <w:rPr>
                  <w:rStyle w:val="Hyperlink"/>
                </w:rPr>
                <w:t>https://www.youtube.com/watch?v=iZG-saOTg44</w:t>
              </w:r>
            </w:hyperlink>
          </w:p>
          <w:p w:rsidR="00351B05" w:rsidRDefault="00351B05">
            <w:pPr>
              <w:pStyle w:val="NoSpacing"/>
            </w:pPr>
          </w:p>
          <w:p w:rsidR="00351B05" w:rsidRDefault="00351B05">
            <w:pPr>
              <w:pStyle w:val="NoSpacing"/>
            </w:pPr>
            <w:hyperlink r:id="rId7" w:history="1">
              <w:r w:rsidRPr="00D723A3">
                <w:rPr>
                  <w:rStyle w:val="Hyperlink"/>
                </w:rPr>
                <w:t>https://www.ballet.org.uk/blog-detail/dust-akram-khan/</w:t>
              </w:r>
            </w:hyperlink>
          </w:p>
          <w:p w:rsidR="00351B05" w:rsidRDefault="00351B05">
            <w:pPr>
              <w:pStyle w:val="NoSpacing"/>
            </w:pPr>
          </w:p>
          <w:p w:rsidR="00351B05" w:rsidRDefault="00351B05">
            <w:pPr>
              <w:pStyle w:val="NoSpacing"/>
            </w:pPr>
            <w:hyperlink r:id="rId8" w:history="1">
              <w:r w:rsidRPr="00D723A3">
                <w:rPr>
                  <w:rStyle w:val="Hyperlink"/>
                </w:rPr>
                <w:t>https://www.thewonderfulworldofdance.com/review-english-national-ballet-lest-we-forget</w:t>
              </w:r>
            </w:hyperlink>
          </w:p>
          <w:p w:rsidR="00351B05" w:rsidRDefault="00351B05">
            <w:pPr>
              <w:pStyle w:val="NoSpacing"/>
            </w:pPr>
          </w:p>
          <w:p w:rsidR="0093733A" w:rsidRDefault="0093733A">
            <w:pPr>
              <w:pStyle w:val="NoSpacing"/>
            </w:pPr>
            <w:hyperlink r:id="rId9" w:history="1">
              <w:r w:rsidRPr="00D723A3">
                <w:rPr>
                  <w:rStyle w:val="Hyperlink"/>
                </w:rPr>
                <w:t>https://www.phoenixdancetheatre.co.uk/production/shadows/</w:t>
              </w:r>
            </w:hyperlink>
          </w:p>
          <w:p w:rsidR="005F500E" w:rsidRDefault="005F500E">
            <w:pPr>
              <w:pStyle w:val="NoSpacing"/>
            </w:pPr>
          </w:p>
        </w:tc>
        <w:tc>
          <w:tcPr>
            <w:tcW w:w="1559" w:type="dxa"/>
            <w:tcBorders>
              <w:top w:val="single" w:sz="4" w:space="0" w:color="auto"/>
              <w:left w:val="single" w:sz="4" w:space="0" w:color="auto"/>
              <w:bottom w:val="single" w:sz="4" w:space="0" w:color="auto"/>
              <w:right w:val="single" w:sz="4" w:space="0" w:color="auto"/>
            </w:tcBorders>
          </w:tcPr>
          <w:p w:rsidR="00094A17" w:rsidRDefault="00C5623F" w:rsidP="00C5623F">
            <w:pPr>
              <w:pStyle w:val="NoSpacing"/>
            </w:pPr>
            <w:r>
              <w:t xml:space="preserve">WW1 and WW2 history </w:t>
            </w:r>
          </w:p>
          <w:p w:rsidR="00C5623F" w:rsidRDefault="00C5623F" w:rsidP="00C5623F">
            <w:pPr>
              <w:pStyle w:val="NoSpacing"/>
            </w:pPr>
          </w:p>
          <w:p w:rsidR="00C5623F" w:rsidRDefault="00C5623F" w:rsidP="00C5623F">
            <w:pPr>
              <w:pStyle w:val="NoSpacing"/>
            </w:pPr>
            <w:r>
              <w:t>Role of women in WW1</w:t>
            </w:r>
          </w:p>
          <w:p w:rsidR="00C5623F" w:rsidRDefault="00C5623F" w:rsidP="00C5623F">
            <w:pPr>
              <w:pStyle w:val="NoSpacing"/>
            </w:pPr>
          </w:p>
          <w:p w:rsidR="00351B05" w:rsidRDefault="00351B05" w:rsidP="00C5623F">
            <w:pPr>
              <w:pStyle w:val="NoSpacing"/>
            </w:pPr>
            <w:r>
              <w:t xml:space="preserve">Dance for film </w:t>
            </w:r>
          </w:p>
          <w:p w:rsidR="0093733A" w:rsidRDefault="0093733A" w:rsidP="00C5623F">
            <w:pPr>
              <w:pStyle w:val="NoSpacing"/>
            </w:pPr>
          </w:p>
          <w:p w:rsidR="0093733A" w:rsidRDefault="0093733A" w:rsidP="00C5623F">
            <w:pPr>
              <w:pStyle w:val="NoSpacing"/>
            </w:pPr>
            <w:r>
              <w:t xml:space="preserve">Trip with Sadler’s Wells to see performance </w:t>
            </w:r>
          </w:p>
          <w:p w:rsidR="0093733A" w:rsidRDefault="0093733A" w:rsidP="00C5623F">
            <w:pPr>
              <w:pStyle w:val="NoSpacing"/>
            </w:pPr>
          </w:p>
          <w:p w:rsidR="0093733A" w:rsidRDefault="0093733A" w:rsidP="00C5623F">
            <w:pPr>
              <w:pStyle w:val="NoSpacing"/>
            </w:pPr>
            <w:r>
              <w:t xml:space="preserve">Features of production </w:t>
            </w:r>
          </w:p>
          <w:p w:rsidR="00351B05" w:rsidRDefault="00351B05" w:rsidP="00C5623F">
            <w:pPr>
              <w:pStyle w:val="NoSpacing"/>
            </w:pPr>
          </w:p>
          <w:p w:rsidR="00351B05" w:rsidRDefault="00351B05" w:rsidP="00C5623F">
            <w:pPr>
              <w:pStyle w:val="NoSpacing"/>
            </w:pPr>
          </w:p>
        </w:tc>
      </w:tr>
    </w:tbl>
    <w:p w:rsidR="00A848FC" w:rsidRPr="00752F09" w:rsidRDefault="00A848FC">
      <w:pPr>
        <w:rPr>
          <w:lang w:val="en-GB"/>
        </w:rPr>
      </w:pPr>
    </w:p>
    <w:sectPr w:rsidR="00A848FC" w:rsidRPr="00752F09" w:rsidSect="004619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043869"/>
    <w:multiLevelType w:val="hybridMultilevel"/>
    <w:tmpl w:val="B094916A"/>
    <w:lvl w:ilvl="0" w:tplc="398E4E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32FED"/>
    <w:multiLevelType w:val="hybridMultilevel"/>
    <w:tmpl w:val="16CCE470"/>
    <w:lvl w:ilvl="0" w:tplc="A16AF57C">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90464"/>
    <w:rsid w:val="00094A17"/>
    <w:rsid w:val="0015292F"/>
    <w:rsid w:val="001C1507"/>
    <w:rsid w:val="00254330"/>
    <w:rsid w:val="00292D52"/>
    <w:rsid w:val="002A65FC"/>
    <w:rsid w:val="002E0164"/>
    <w:rsid w:val="00327756"/>
    <w:rsid w:val="00351B05"/>
    <w:rsid w:val="0046196A"/>
    <w:rsid w:val="004B623E"/>
    <w:rsid w:val="005A02A0"/>
    <w:rsid w:val="005E122F"/>
    <w:rsid w:val="005E384D"/>
    <w:rsid w:val="005F500E"/>
    <w:rsid w:val="00657743"/>
    <w:rsid w:val="006C2B20"/>
    <w:rsid w:val="00752F09"/>
    <w:rsid w:val="007E6A48"/>
    <w:rsid w:val="00870717"/>
    <w:rsid w:val="0093733A"/>
    <w:rsid w:val="00944646"/>
    <w:rsid w:val="00991F0E"/>
    <w:rsid w:val="009B21D4"/>
    <w:rsid w:val="009C5067"/>
    <w:rsid w:val="00A45A26"/>
    <w:rsid w:val="00A848FC"/>
    <w:rsid w:val="00AE7274"/>
    <w:rsid w:val="00B14496"/>
    <w:rsid w:val="00BC4A27"/>
    <w:rsid w:val="00C5623F"/>
    <w:rsid w:val="00CF6E9C"/>
    <w:rsid w:val="00E12E14"/>
    <w:rsid w:val="00E51E43"/>
    <w:rsid w:val="00F14E5C"/>
    <w:rsid w:val="00F5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3057A-2FEB-4204-8D99-FA606B0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onderfulworldofdance.com/review-english-national-ballet-lest-we-forget" TargetMode="External"/><Relationship Id="rId3" Type="http://schemas.openxmlformats.org/officeDocument/2006/relationships/settings" Target="settings.xml"/><Relationship Id="rId7" Type="http://schemas.openxmlformats.org/officeDocument/2006/relationships/hyperlink" Target="https://www.ballet.org.uk/blog-detail/dust-akram-k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ZG-saOTg44" TargetMode="External"/><Relationship Id="rId11" Type="http://schemas.openxmlformats.org/officeDocument/2006/relationships/theme" Target="theme/theme1.xml"/><Relationship Id="rId5" Type="http://schemas.openxmlformats.org/officeDocument/2006/relationships/hyperlink" Target="https://www.balletboyz.com/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enixdancetheatre.co.uk/production/sh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3670</CharactersWithSpaces>
  <SharedDoc>false</SharedDoc>
  <HLinks>
    <vt:vector size="30" baseType="variant">
      <vt:variant>
        <vt:i4>6225992</vt:i4>
      </vt:variant>
      <vt:variant>
        <vt:i4>12</vt:i4>
      </vt:variant>
      <vt:variant>
        <vt:i4>0</vt:i4>
      </vt:variant>
      <vt:variant>
        <vt:i4>5</vt:i4>
      </vt:variant>
      <vt:variant>
        <vt:lpwstr>https://www.phoenixdancetheatre.co.uk/production/shadows/</vt:lpwstr>
      </vt:variant>
      <vt:variant>
        <vt:lpwstr/>
      </vt:variant>
      <vt:variant>
        <vt:i4>3145768</vt:i4>
      </vt:variant>
      <vt:variant>
        <vt:i4>9</vt:i4>
      </vt:variant>
      <vt:variant>
        <vt:i4>0</vt:i4>
      </vt:variant>
      <vt:variant>
        <vt:i4>5</vt:i4>
      </vt:variant>
      <vt:variant>
        <vt:lpwstr>https://www.thewonderfulworldofdance.com/review-english-national-ballet-lest-we-forget</vt:lpwstr>
      </vt:variant>
      <vt:variant>
        <vt:lpwstr/>
      </vt:variant>
      <vt:variant>
        <vt:i4>6553697</vt:i4>
      </vt:variant>
      <vt:variant>
        <vt:i4>6</vt:i4>
      </vt:variant>
      <vt:variant>
        <vt:i4>0</vt:i4>
      </vt:variant>
      <vt:variant>
        <vt:i4>5</vt:i4>
      </vt:variant>
      <vt:variant>
        <vt:lpwstr>https://www.ballet.org.uk/blog-detail/dust-akram-khan/</vt:lpwstr>
      </vt:variant>
      <vt:variant>
        <vt:lpwstr/>
      </vt:variant>
      <vt:variant>
        <vt:i4>2687034</vt:i4>
      </vt:variant>
      <vt:variant>
        <vt:i4>3</vt:i4>
      </vt:variant>
      <vt:variant>
        <vt:i4>0</vt:i4>
      </vt:variant>
      <vt:variant>
        <vt:i4>5</vt:i4>
      </vt:variant>
      <vt:variant>
        <vt:lpwstr>https://www.youtube.com/watch?v=iZG-saOTg44</vt:lpwstr>
      </vt:variant>
      <vt:variant>
        <vt:lpwstr/>
      </vt:variant>
      <vt:variant>
        <vt:i4>5242953</vt:i4>
      </vt:variant>
      <vt:variant>
        <vt:i4>0</vt:i4>
      </vt:variant>
      <vt:variant>
        <vt:i4>0</vt:i4>
      </vt:variant>
      <vt:variant>
        <vt:i4>5</vt:i4>
      </vt:variant>
      <vt:variant>
        <vt:lpwstr>https://www.balletboyz.com/about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2020-06-03T10:25:00Z</dcterms:created>
  <dcterms:modified xsi:type="dcterms:W3CDTF">2020-06-03T10:25:00Z</dcterms:modified>
</cp:coreProperties>
</file>