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111F" w14:textId="2A0D3C72" w:rsidR="002327F7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E7715" wp14:editId="4BF7838C">
                <wp:simplePos x="0" y="0"/>
                <wp:positionH relativeFrom="column">
                  <wp:posOffset>581025</wp:posOffset>
                </wp:positionH>
                <wp:positionV relativeFrom="paragraph">
                  <wp:posOffset>-172357</wp:posOffset>
                </wp:positionV>
                <wp:extent cx="5485418" cy="489857"/>
                <wp:effectExtent l="0" t="0" r="1270" b="571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418" cy="48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8DF" w14:textId="207673C3" w:rsidR="00430C97" w:rsidRPr="002E2CE5" w:rsidRDefault="00430C97" w:rsidP="004C11FA">
                            <w:pPr>
                              <w:pStyle w:val="NoSpacing"/>
                              <w:jc w:val="center"/>
                            </w:pPr>
                            <w:r w:rsidRPr="002E2CE5">
                              <w:rPr>
                                <w:b/>
                              </w:rPr>
                              <w:t>UNIT OVERVIEW:</w:t>
                            </w:r>
                            <w:r w:rsidRPr="002E2CE5">
                              <w:t xml:space="preserve"> </w:t>
                            </w:r>
                            <w:r>
                              <w:t>Prime Minister and the Executive</w:t>
                            </w:r>
                          </w:p>
                          <w:p w14:paraId="7C7F49D1" w14:textId="64901E22" w:rsidR="00430C97" w:rsidRPr="002E2CE5" w:rsidRDefault="00430C97" w:rsidP="004C11FA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2E2CE5">
                              <w:rPr>
                                <w:b/>
                              </w:rPr>
                              <w:t xml:space="preserve">ENQUIRY: </w:t>
                            </w:r>
                            <w:r w:rsidRPr="002E2CE5">
                              <w:rPr>
                                <w:bCs/>
                              </w:rPr>
                              <w:t>How</w:t>
                            </w:r>
                            <w:r>
                              <w:rPr>
                                <w:bCs/>
                              </w:rPr>
                              <w:t xml:space="preserve"> powerful is the Prime Minister</w:t>
                            </w:r>
                            <w:r w:rsidRPr="002E2CE5">
                              <w:rPr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E77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.75pt;margin-top:-13.55pt;width:431.9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" stroked="f">
                <v:textbox>
                  <w:txbxContent>
                    <w:p w14:paraId="3C53F8DF" w14:textId="207673C3" w:rsidR="00430C97" w:rsidRPr="002E2CE5" w:rsidRDefault="00430C97" w:rsidP="004C11FA">
                      <w:pPr>
                        <w:pStyle w:val="NoSpacing"/>
                        <w:jc w:val="center"/>
                      </w:pPr>
                      <w:r w:rsidRPr="002E2CE5">
                        <w:rPr>
                          <w:b/>
                        </w:rPr>
                        <w:t>UNIT OVERVIEW:</w:t>
                      </w:r>
                      <w:r w:rsidRPr="002E2CE5">
                        <w:t xml:space="preserve"> </w:t>
                      </w:r>
                      <w:r>
                        <w:t>Prime Minister and the Executive</w:t>
                      </w:r>
                    </w:p>
                    <w:p w14:paraId="7C7F49D1" w14:textId="64901E22" w:rsidR="00430C97" w:rsidRPr="002E2CE5" w:rsidRDefault="00430C97" w:rsidP="004C11FA">
                      <w:pPr>
                        <w:pStyle w:val="NoSpacing"/>
                        <w:jc w:val="center"/>
                        <w:rPr>
                          <w:bCs/>
                        </w:rPr>
                      </w:pPr>
                      <w:r w:rsidRPr="002E2CE5">
                        <w:rPr>
                          <w:b/>
                        </w:rPr>
                        <w:t xml:space="preserve">ENQUIRY: </w:t>
                      </w:r>
                      <w:r w:rsidRPr="002E2CE5">
                        <w:rPr>
                          <w:bCs/>
                        </w:rPr>
                        <w:t>How</w:t>
                      </w:r>
                      <w:r>
                        <w:rPr>
                          <w:bCs/>
                        </w:rPr>
                        <w:t xml:space="preserve"> powerful is the Prime Minister</w:t>
                      </w:r>
                      <w:r w:rsidRPr="002E2CE5">
                        <w:rPr>
                          <w:bCs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33"/>
        <w:gridCol w:w="4058"/>
        <w:gridCol w:w="567"/>
        <w:gridCol w:w="662"/>
      </w:tblGrid>
      <w:tr w:rsidR="00906340" w14:paraId="4AFA9F46" w14:textId="77777777" w:rsidTr="00582B41">
        <w:tc>
          <w:tcPr>
            <w:tcW w:w="10420" w:type="dxa"/>
            <w:gridSpan w:val="4"/>
          </w:tcPr>
          <w:p w14:paraId="1A124C02" w14:textId="342AD86A" w:rsidR="008079DE" w:rsidRPr="008F0FF5" w:rsidRDefault="00906340" w:rsidP="008079D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>Unit intention:</w:t>
            </w:r>
            <w:r w:rsidR="00A53C59" w:rsidRPr="008F0F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5FE6" w:rsidRPr="00C373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 explore the structure and workings of </w:t>
            </w:r>
            <w:r w:rsidR="00194523" w:rsidRPr="00C373D0">
              <w:rPr>
                <w:rFonts w:asciiTheme="minorHAnsi" w:hAnsiTheme="minorHAnsi" w:cstheme="minorHAnsi"/>
                <w:bCs/>
                <w:sz w:val="20"/>
                <w:szCs w:val="20"/>
              </w:rPr>
              <w:t>government, including the roles and powers of the Prime Minister and the Cabinet. It will assess and evaluate who has more power the PM or the Cabinet. It w</w:t>
            </w:r>
            <w:r w:rsidR="00832182" w:rsidRPr="00C373D0">
              <w:rPr>
                <w:rFonts w:asciiTheme="minorHAnsi" w:hAnsiTheme="minorHAnsi" w:cstheme="minorHAnsi"/>
                <w:bCs/>
                <w:sz w:val="20"/>
                <w:szCs w:val="20"/>
              </w:rPr>
              <w:t>ill</w:t>
            </w:r>
            <w:r w:rsidR="00194523" w:rsidRPr="00C373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also explore the constraints that every Prime Minister </w:t>
            </w:r>
            <w:r w:rsidR="001B2A9A" w:rsidRPr="00C373D0">
              <w:rPr>
                <w:rFonts w:asciiTheme="minorHAnsi" w:hAnsiTheme="minorHAnsi" w:cstheme="minorHAnsi"/>
                <w:bCs/>
                <w:sz w:val="20"/>
                <w:szCs w:val="20"/>
              </w:rPr>
              <w:t>face</w:t>
            </w:r>
            <w:r w:rsidR="00194523" w:rsidRPr="00C373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7359A6" w14:paraId="3C093F5B" w14:textId="77777777" w:rsidTr="008F0FF5">
        <w:trPr>
          <w:trHeight w:val="469"/>
        </w:trPr>
        <w:tc>
          <w:tcPr>
            <w:tcW w:w="9191" w:type="dxa"/>
            <w:gridSpan w:val="2"/>
          </w:tcPr>
          <w:p w14:paraId="0BBD2343" w14:textId="77777777" w:rsidR="002327F7" w:rsidRPr="008F0FF5" w:rsidRDefault="00906340" w:rsidP="00874D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</w:tc>
        <w:tc>
          <w:tcPr>
            <w:tcW w:w="567" w:type="dxa"/>
          </w:tcPr>
          <w:p w14:paraId="71FE8B37" w14:textId="77777777" w:rsidR="002327F7" w:rsidRPr="008F0FF5" w:rsidRDefault="00906340" w:rsidP="00874D31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662" w:type="dxa"/>
          </w:tcPr>
          <w:p w14:paraId="4D2FC0EE" w14:textId="77777777" w:rsidR="002327F7" w:rsidRPr="008F0FF5" w:rsidRDefault="00906340" w:rsidP="00874D31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X</w:t>
            </w:r>
          </w:p>
        </w:tc>
      </w:tr>
      <w:tr w:rsidR="007359A6" w14:paraId="0E96AEE6" w14:textId="77777777" w:rsidTr="00582B41">
        <w:trPr>
          <w:trHeight w:val="3917"/>
        </w:trPr>
        <w:tc>
          <w:tcPr>
            <w:tcW w:w="9191" w:type="dxa"/>
            <w:gridSpan w:val="2"/>
          </w:tcPr>
          <w:p w14:paraId="5479FE66" w14:textId="60C1AD47" w:rsidR="00E21ACA" w:rsidRPr="00A578A4" w:rsidRDefault="009637EB" w:rsidP="00E21AC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A578A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I can explain the s</w:t>
            </w:r>
            <w:r w:rsidR="00E21ACA" w:rsidRPr="00A578A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tructure and role</w:t>
            </w:r>
            <w:r w:rsidRPr="00A578A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</w:t>
            </w:r>
            <w:r w:rsidR="00E21ACA" w:rsidRPr="00A578A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of the executive, including the different parts that make up the executive.</w:t>
            </w:r>
            <w:r w:rsidRPr="00A578A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</w:p>
          <w:p w14:paraId="03D08DA7" w14:textId="77777777" w:rsidR="00474EC6" w:rsidRPr="00A578A4" w:rsidRDefault="005B705E" w:rsidP="00474EC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8A4"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A57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identify, assess </w:t>
            </w:r>
            <w:r w:rsidRPr="00A578A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A57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evaluate</w:t>
            </w:r>
            <w:r w:rsidRPr="00A578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40B1" w:rsidRPr="00A578A4">
              <w:rPr>
                <w:rFonts w:asciiTheme="minorHAnsi" w:hAnsiTheme="minorHAnsi" w:cstheme="minorHAnsi"/>
                <w:sz w:val="20"/>
                <w:szCs w:val="20"/>
              </w:rPr>
              <w:t xml:space="preserve">the roles and powers of the Prime Minister and the Cabinet and determine and substantiate who is more powerful. </w:t>
            </w:r>
          </w:p>
          <w:p w14:paraId="38ED5EA0" w14:textId="77777777" w:rsidR="00241296" w:rsidRPr="00A578A4" w:rsidRDefault="002031E4" w:rsidP="00474EC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8A4"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A578A4">
              <w:rPr>
                <w:rFonts w:asciiTheme="minorHAnsi" w:hAnsiTheme="minorHAnsi" w:cstheme="minorHAnsi"/>
                <w:b/>
                <w:sz w:val="20"/>
                <w:szCs w:val="20"/>
              </w:rPr>
              <w:t>distinguish</w:t>
            </w:r>
            <w:r w:rsidRPr="00A578A4">
              <w:rPr>
                <w:rFonts w:asciiTheme="minorHAnsi" w:hAnsiTheme="minorHAnsi" w:cstheme="minorHAnsi"/>
                <w:sz w:val="20"/>
                <w:szCs w:val="20"/>
              </w:rPr>
              <w:t xml:space="preserve"> between </w:t>
            </w:r>
            <w:r w:rsidRPr="00A57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Collective and Individual Ministerial Responsibility </w:t>
            </w:r>
            <w:r w:rsidR="000410E6" w:rsidRPr="00A57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</w:t>
            </w:r>
            <w:r w:rsidR="000410E6" w:rsidRPr="00A57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assess</w:t>
            </w:r>
            <w:r w:rsidR="000410E6" w:rsidRPr="00A57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r w:rsidR="000410E6" w:rsidRPr="00A57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evaluate</w:t>
            </w:r>
            <w:r w:rsidR="000410E6" w:rsidRPr="00A57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whether the conventions are still applicable or eroded.</w:t>
            </w:r>
          </w:p>
          <w:p w14:paraId="04834FDC" w14:textId="77777777" w:rsidR="00474EC6" w:rsidRPr="00A4320E" w:rsidRDefault="00F95409" w:rsidP="00474EC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A578A4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r w:rsidRPr="00A578A4">
              <w:rPr>
                <w:rFonts w:asciiTheme="minorHAnsi" w:hAnsiTheme="minorHAnsi" w:cstheme="minorHAnsi"/>
                <w:b/>
                <w:sz w:val="20"/>
                <w:szCs w:val="20"/>
              </w:rPr>
              <w:t>identify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F95409">
              <w:rPr>
                <w:rFonts w:asciiTheme="minorHAnsi" w:hAnsiTheme="minorHAnsi" w:cstheme="minorHAnsi"/>
                <w:b/>
                <w:sz w:val="20"/>
                <w:szCs w:val="20"/>
              </w:rPr>
              <w:t>explain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629F">
              <w:rPr>
                <w:rFonts w:asciiTheme="minorHAnsi" w:hAnsiTheme="minorHAnsi" w:cstheme="minorHAnsi"/>
                <w:sz w:val="20"/>
                <w:szCs w:val="20"/>
              </w:rPr>
              <w:t xml:space="preserve">the factors that the Prime Minister </w:t>
            </w:r>
            <w:r w:rsidR="006237BA">
              <w:rPr>
                <w:rFonts w:asciiTheme="minorHAnsi" w:hAnsiTheme="minorHAnsi" w:cstheme="minorHAnsi"/>
                <w:sz w:val="20"/>
                <w:szCs w:val="20"/>
              </w:rPr>
              <w:t>considers</w:t>
            </w:r>
            <w:r w:rsidR="0041629F">
              <w:rPr>
                <w:rFonts w:asciiTheme="minorHAnsi" w:hAnsiTheme="minorHAnsi" w:cstheme="minorHAnsi"/>
                <w:sz w:val="20"/>
                <w:szCs w:val="20"/>
              </w:rPr>
              <w:t xml:space="preserve"> when selecting his ministers and the impact it can have within the government, parliamentary party and in the eyes of the electorate. </w:t>
            </w:r>
          </w:p>
          <w:p w14:paraId="2C075FEF" w14:textId="77777777" w:rsidR="00A4320E" w:rsidRDefault="00A4320E" w:rsidP="00474EC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>
              <w:rPr>
                <w:b/>
                <w:sz w:val="20"/>
                <w:szCs w:val="20"/>
              </w:rPr>
              <w:t xml:space="preserve">explain </w:t>
            </w:r>
            <w:r>
              <w:rPr>
                <w:sz w:val="20"/>
                <w:szCs w:val="20"/>
              </w:rPr>
              <w:t xml:space="preserve">and </w:t>
            </w:r>
            <w:r w:rsidR="00CA09C7">
              <w:rPr>
                <w:b/>
                <w:sz w:val="20"/>
                <w:szCs w:val="20"/>
              </w:rPr>
              <w:t xml:space="preserve">compare </w:t>
            </w:r>
            <w:r w:rsidR="00F26CFC">
              <w:rPr>
                <w:sz w:val="20"/>
                <w:szCs w:val="20"/>
              </w:rPr>
              <w:t xml:space="preserve">the powers between the cabinet </w:t>
            </w:r>
            <w:r w:rsidR="00500F64">
              <w:rPr>
                <w:sz w:val="20"/>
                <w:szCs w:val="20"/>
              </w:rPr>
              <w:t xml:space="preserve">and the Prime Minister and </w:t>
            </w:r>
            <w:r w:rsidR="00500F64" w:rsidRPr="00500F64">
              <w:rPr>
                <w:b/>
                <w:sz w:val="20"/>
                <w:szCs w:val="20"/>
              </w:rPr>
              <w:t>assess</w:t>
            </w:r>
            <w:r w:rsidR="00500F64">
              <w:rPr>
                <w:sz w:val="20"/>
                <w:szCs w:val="20"/>
              </w:rPr>
              <w:t xml:space="preserve"> and </w:t>
            </w:r>
            <w:r w:rsidR="00500F64" w:rsidRPr="00500F64">
              <w:rPr>
                <w:b/>
                <w:sz w:val="20"/>
                <w:szCs w:val="20"/>
              </w:rPr>
              <w:t>evaluate</w:t>
            </w:r>
            <w:r w:rsidR="00500F64">
              <w:rPr>
                <w:sz w:val="20"/>
                <w:szCs w:val="20"/>
              </w:rPr>
              <w:t xml:space="preserve"> who is more powerful. </w:t>
            </w:r>
          </w:p>
          <w:p w14:paraId="5B37C7F1" w14:textId="77777777" w:rsidR="00B81C73" w:rsidRDefault="00B81C73" w:rsidP="00474EC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B81C73">
              <w:rPr>
                <w:b/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 xml:space="preserve"> and </w:t>
            </w:r>
            <w:r w:rsidRPr="00B81C73">
              <w:rPr>
                <w:b/>
                <w:sz w:val="20"/>
                <w:szCs w:val="20"/>
              </w:rPr>
              <w:t>produce</w:t>
            </w:r>
            <w:r>
              <w:rPr>
                <w:sz w:val="20"/>
                <w:szCs w:val="20"/>
              </w:rPr>
              <w:t xml:space="preserve"> at least two detailed case studies on one pre-1997 and one post 1997 Prime Ministers. </w:t>
            </w:r>
          </w:p>
          <w:p w14:paraId="2CE0B993" w14:textId="06AC9438" w:rsidR="00B81C73" w:rsidRPr="00474EC6" w:rsidRDefault="00B81C73" w:rsidP="00474EC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0E0915">
              <w:rPr>
                <w:sz w:val="20"/>
                <w:szCs w:val="20"/>
              </w:rPr>
              <w:t xml:space="preserve">can </w:t>
            </w:r>
            <w:r w:rsidR="00C732AB" w:rsidRPr="007E03E0">
              <w:rPr>
                <w:b/>
                <w:sz w:val="20"/>
                <w:szCs w:val="20"/>
              </w:rPr>
              <w:t>assess</w:t>
            </w:r>
            <w:r w:rsidR="00C732AB">
              <w:rPr>
                <w:sz w:val="20"/>
                <w:szCs w:val="20"/>
              </w:rPr>
              <w:t xml:space="preserve"> and </w:t>
            </w:r>
            <w:r w:rsidR="00C732AB" w:rsidRPr="007E03E0">
              <w:rPr>
                <w:b/>
                <w:sz w:val="20"/>
                <w:szCs w:val="20"/>
              </w:rPr>
              <w:t>evaluate</w:t>
            </w:r>
            <w:r w:rsidR="00C732AB">
              <w:rPr>
                <w:sz w:val="20"/>
                <w:szCs w:val="20"/>
              </w:rPr>
              <w:t xml:space="preserve"> whether the PM is able to control and dictate events and policy.</w:t>
            </w:r>
          </w:p>
        </w:tc>
        <w:tc>
          <w:tcPr>
            <w:tcW w:w="567" w:type="dxa"/>
          </w:tcPr>
          <w:p w14:paraId="443BF5CC" w14:textId="77777777" w:rsidR="002327F7" w:rsidRPr="008F0FF5" w:rsidRDefault="002327F7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14:paraId="4B517231" w14:textId="77777777" w:rsidR="002327F7" w:rsidRPr="008F0FF5" w:rsidRDefault="002327F7">
            <w:pPr>
              <w:rPr>
                <w:sz w:val="20"/>
                <w:szCs w:val="20"/>
              </w:rPr>
            </w:pPr>
          </w:p>
        </w:tc>
      </w:tr>
      <w:tr w:rsidR="002932C6" w14:paraId="104CF93F" w14:textId="77777777" w:rsidTr="00582B41">
        <w:trPr>
          <w:trHeight w:val="3873"/>
        </w:trPr>
        <w:tc>
          <w:tcPr>
            <w:tcW w:w="5133" w:type="dxa"/>
          </w:tcPr>
          <w:p w14:paraId="58A79484" w14:textId="77777777" w:rsidR="00D00313" w:rsidRPr="001B0814" w:rsidRDefault="00D00313" w:rsidP="00D00313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 w:rsidRPr="001B0814"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14:paraId="25BA6EA2" w14:textId="77777777" w:rsidR="00D00313" w:rsidRDefault="00D00313" w:rsidP="00060C2A">
            <w:pPr>
              <w:spacing w:after="0" w:line="240" w:lineRule="auto"/>
              <w:rPr>
                <w:color w:val="000000"/>
                <w:lang w:eastAsia="en-GB"/>
              </w:rPr>
            </w:pPr>
          </w:p>
          <w:p w14:paraId="3B8B55DA" w14:textId="77777777" w:rsidR="004A010F" w:rsidRPr="00D720DB" w:rsidRDefault="004A010F" w:rsidP="004A010F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720DB">
              <w:rPr>
                <w:rFonts w:cs="Calibri"/>
                <w:color w:val="000000"/>
                <w:sz w:val="20"/>
                <w:szCs w:val="20"/>
              </w:rPr>
              <w:t xml:space="preserve">Structure, role and powers of the Executive </w:t>
            </w:r>
          </w:p>
          <w:p w14:paraId="6B696475" w14:textId="77777777" w:rsidR="004A010F" w:rsidRPr="00D720DB" w:rsidRDefault="004A010F" w:rsidP="004A010F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720DB">
              <w:rPr>
                <w:rFonts w:cs="Calibri"/>
                <w:color w:val="000000"/>
                <w:sz w:val="20"/>
                <w:szCs w:val="20"/>
              </w:rPr>
              <w:t xml:space="preserve">Roles and powers of the Prime Minister Roles and powers of the Cabinet </w:t>
            </w:r>
          </w:p>
          <w:p w14:paraId="453FDBA8" w14:textId="77777777" w:rsidR="004A010F" w:rsidRPr="00D720DB" w:rsidRDefault="004A010F" w:rsidP="004A010F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720DB">
              <w:rPr>
                <w:rFonts w:cs="Calibri"/>
                <w:color w:val="000000"/>
                <w:sz w:val="20"/>
                <w:szCs w:val="20"/>
              </w:rPr>
              <w:t>Collective and Individual Ministerial Responsibility</w:t>
            </w:r>
          </w:p>
          <w:p w14:paraId="3DDA9F50" w14:textId="77777777" w:rsidR="004A010F" w:rsidRPr="00D720DB" w:rsidRDefault="004A010F" w:rsidP="004A010F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720DB">
              <w:rPr>
                <w:rFonts w:cs="Calibri"/>
                <w:color w:val="000000"/>
                <w:sz w:val="20"/>
                <w:szCs w:val="20"/>
              </w:rPr>
              <w:t xml:space="preserve">The selection of ministers </w:t>
            </w:r>
          </w:p>
          <w:p w14:paraId="071E8D64" w14:textId="77777777" w:rsidR="004A010F" w:rsidRPr="00D720DB" w:rsidRDefault="004A010F" w:rsidP="004A010F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720DB">
              <w:rPr>
                <w:rFonts w:cs="Calibri"/>
                <w:color w:val="000000"/>
                <w:sz w:val="20"/>
                <w:szCs w:val="20"/>
              </w:rPr>
              <w:t xml:space="preserve">The relationship between the PM and cabinet – is the cabinet submissive to the PM? </w:t>
            </w:r>
          </w:p>
          <w:p w14:paraId="3A22FA30" w14:textId="3AD3D1C3" w:rsidR="004A010F" w:rsidRPr="00D720DB" w:rsidRDefault="004A010F" w:rsidP="004A010F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720DB">
              <w:rPr>
                <w:rFonts w:cs="Calibri"/>
                <w:color w:val="000000"/>
                <w:sz w:val="20"/>
                <w:szCs w:val="20"/>
              </w:rPr>
              <w:t>Prime ministerial case studies – Thatcher, Blair</w:t>
            </w:r>
            <w:r w:rsidR="00E74250">
              <w:rPr>
                <w:rFonts w:cs="Calibri"/>
                <w:color w:val="000000"/>
                <w:sz w:val="20"/>
                <w:szCs w:val="20"/>
              </w:rPr>
              <w:t>, May</w:t>
            </w:r>
            <w:r w:rsidRPr="00D720DB">
              <w:rPr>
                <w:rFonts w:cs="Calibri"/>
                <w:color w:val="000000"/>
                <w:sz w:val="20"/>
                <w:szCs w:val="20"/>
              </w:rPr>
              <w:t xml:space="preserve"> and Johnson</w:t>
            </w:r>
          </w:p>
          <w:p w14:paraId="6AE4DA80" w14:textId="77777777" w:rsidR="004A010F" w:rsidRPr="00D720DB" w:rsidRDefault="004A010F" w:rsidP="004A010F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720DB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PM is able to control and dictate events and policy</w:t>
            </w:r>
          </w:p>
          <w:p w14:paraId="265CF3D4" w14:textId="14C5A7EE" w:rsidR="00661920" w:rsidRPr="00661920" w:rsidRDefault="00661920" w:rsidP="00E74250">
            <w:pPr>
              <w:pStyle w:val="NormalWeb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14:paraId="5702DF7C" w14:textId="06E55100" w:rsidR="00D00313" w:rsidRPr="001B0814" w:rsidRDefault="005C397E" w:rsidP="00D00313">
            <w:pPr>
              <w:pStyle w:val="NoSpacing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yellow"/>
              </w:rPr>
              <w:t>Useful Links/Resources</w:t>
            </w:r>
            <w:r w:rsidR="00D00313" w:rsidRPr="001B0814">
              <w:rPr>
                <w:rFonts w:asciiTheme="minorHAnsi" w:hAnsiTheme="minorHAnsi" w:cstheme="minorHAnsi"/>
                <w:b/>
                <w:sz w:val="24"/>
                <w:highlight w:val="yellow"/>
              </w:rPr>
              <w:t xml:space="preserve">: </w:t>
            </w:r>
          </w:p>
          <w:p w14:paraId="266111CB" w14:textId="77777777" w:rsidR="005C397E" w:rsidRDefault="005C397E" w:rsidP="005C397E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BBC News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www.bbc.com/politics</w:t>
              </w:r>
            </w:hyperlink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</w:t>
            </w:r>
          </w:p>
          <w:p w14:paraId="5C2E0C17" w14:textId="61986C64" w:rsidR="005C397E" w:rsidRPr="005C397E" w:rsidRDefault="005C397E" w:rsidP="005C397E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Channel Four News (Politics)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in depth video analysis of political stories.</w:t>
            </w:r>
            <w:r w:rsidR="00AA1254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hyperlink r:id="rId9" w:history="1">
              <w:r w:rsidRPr="00C12AE3">
                <w:rPr>
                  <w:rStyle w:val="Hyperlink"/>
                  <w:rFonts w:asciiTheme="minorHAnsi" w:hAnsiTheme="minorHAnsi"/>
                  <w:sz w:val="20"/>
                </w:rPr>
                <w:t>https://www.channel4.com/news/</w:t>
              </w:r>
            </w:hyperlink>
          </w:p>
          <w:p w14:paraId="6D92C650" w14:textId="77777777" w:rsidR="005C397E" w:rsidRDefault="005C397E" w:rsidP="005C397E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>
              <w:rPr>
                <w:rFonts w:asciiTheme="minorHAnsi" w:hAnsiTheme="minorHAnsi"/>
                <w:b/>
                <w:sz w:val="20"/>
              </w:rPr>
              <w:t>Economist</w:t>
            </w:r>
            <w:r>
              <w:rPr>
                <w:rFonts w:asciiTheme="minorHAnsi" w:hAnsiTheme="minorHAnsi"/>
                <w:sz w:val="20"/>
              </w:rPr>
              <w:t xml:space="preserve"> has analysis and opinions of the latest political stories. </w:t>
            </w:r>
            <w:hyperlink r:id="rId10" w:history="1">
              <w:r>
                <w:rPr>
                  <w:rStyle w:val="Hyperlink"/>
                  <w:rFonts w:asciiTheme="minorHAnsi" w:hAnsiTheme="minorHAnsi"/>
                  <w:sz w:val="20"/>
                </w:rPr>
                <w:t>https://www.economist.com/</w:t>
              </w:r>
            </w:hyperlink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32CEE3D9" w14:textId="77777777" w:rsidR="005C397E" w:rsidRDefault="005C397E" w:rsidP="005C397E">
            <w:pPr>
              <w:pStyle w:val="NoSpacing"/>
              <w:rPr>
                <w:rFonts w:asciiTheme="minorHAnsi" w:eastAsia="Times New Roman" w:hAnsiTheme="minorHAnsi" w:cs="Tahoma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The Telegraph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Current political news, more from a Conservative perspective.</w:t>
            </w:r>
          </w:p>
          <w:p w14:paraId="4607CE2E" w14:textId="77777777" w:rsidR="005C397E" w:rsidRDefault="00E21ACA" w:rsidP="005C397E">
            <w:pPr>
              <w:pStyle w:val="NoSpacing"/>
              <w:rPr>
                <w:rFonts w:asciiTheme="minorHAnsi" w:eastAsia="Times New Roman" w:hAnsiTheme="minorHAnsi" w:cs="Tahoma"/>
                <w:sz w:val="18"/>
                <w:szCs w:val="20"/>
              </w:rPr>
            </w:pPr>
            <w:hyperlink r:id="rId11" w:history="1">
              <w:r w:rsidR="005C397E">
                <w:rPr>
                  <w:rStyle w:val="Hyperlink"/>
                  <w:rFonts w:asciiTheme="minorHAnsi" w:hAnsiTheme="minorHAnsi"/>
                  <w:sz w:val="20"/>
                </w:rPr>
                <w:t>https://www.telegraph.co.uk/politics/</w:t>
              </w:r>
            </w:hyperlink>
          </w:p>
          <w:p w14:paraId="347D8617" w14:textId="77777777" w:rsidR="005C397E" w:rsidRDefault="005C397E" w:rsidP="005C397E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The 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Guardian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Current political news, more from a liberal perspective.</w:t>
            </w:r>
          </w:p>
          <w:p w14:paraId="4E8DEFDB" w14:textId="77777777" w:rsidR="005C397E" w:rsidRDefault="00E21ACA" w:rsidP="005C397E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hyperlink r:id="rId12" w:history="1">
              <w:r w:rsidR="005C397E">
                <w:rPr>
                  <w:rStyle w:val="Hyperlink"/>
                  <w:rFonts w:asciiTheme="minorHAnsi" w:hAnsiTheme="minorHAnsi"/>
                  <w:sz w:val="20"/>
                </w:rPr>
                <w:t>https://www.theguardian.com/politics</w:t>
              </w:r>
            </w:hyperlink>
          </w:p>
          <w:p w14:paraId="363773AF" w14:textId="77777777" w:rsidR="005C397E" w:rsidRDefault="005C397E" w:rsidP="005C397E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Blogs</w:t>
            </w:r>
          </w:p>
          <w:p w14:paraId="085DD339" w14:textId="77777777" w:rsidR="005C397E" w:rsidRDefault="005C397E" w:rsidP="005C397E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UCL Constitution Unit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Research based blog dealing with analysis of current political problems</w:t>
            </w:r>
          </w:p>
          <w:p w14:paraId="127CF299" w14:textId="77777777" w:rsidR="005C397E" w:rsidRDefault="00E21ACA" w:rsidP="005C397E">
            <w:pPr>
              <w:pStyle w:val="NoSpacing"/>
              <w:rPr>
                <w:rFonts w:asciiTheme="minorHAnsi" w:eastAsia="Cambria" w:hAnsiTheme="minorHAnsi"/>
                <w:szCs w:val="24"/>
              </w:rPr>
            </w:pPr>
            <w:hyperlink r:id="rId13" w:history="1">
              <w:r w:rsidR="005C397E">
                <w:rPr>
                  <w:rStyle w:val="Hyperlink"/>
                  <w:rFonts w:asciiTheme="minorHAnsi" w:hAnsiTheme="minorHAnsi"/>
                  <w:sz w:val="20"/>
                </w:rPr>
                <w:t>https://blogs.lse.ac.uk/politicsandpolicy/</w:t>
              </w:r>
            </w:hyperlink>
            <w:r w:rsidR="005C397E">
              <w:rPr>
                <w:rFonts w:asciiTheme="minorHAnsi" w:hAnsiTheme="minorHAnsi"/>
              </w:rPr>
              <w:t xml:space="preserve"> </w:t>
            </w:r>
          </w:p>
          <w:p w14:paraId="5E739698" w14:textId="77777777" w:rsidR="005C397E" w:rsidRDefault="005C397E" w:rsidP="005C397E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Politics blog</w:t>
            </w:r>
          </w:p>
          <w:p w14:paraId="13653C35" w14:textId="77777777" w:rsidR="005C397E" w:rsidRDefault="00E21ACA" w:rsidP="005C397E">
            <w:pPr>
              <w:pStyle w:val="NoSpacing"/>
              <w:rPr>
                <w:rFonts w:asciiTheme="minorHAnsi" w:eastAsia="Cambria" w:hAnsiTheme="minorHAnsi"/>
                <w:sz w:val="20"/>
                <w:szCs w:val="24"/>
              </w:rPr>
            </w:pPr>
            <w:hyperlink r:id="rId14" w:history="1">
              <w:r w:rsidR="005C397E">
                <w:rPr>
                  <w:rStyle w:val="Hyperlink"/>
                  <w:rFonts w:asciiTheme="minorHAnsi" w:hAnsiTheme="minorHAnsi"/>
                  <w:sz w:val="20"/>
                </w:rPr>
                <w:t>http://alevelpolitics.com/</w:t>
              </w:r>
            </w:hyperlink>
          </w:p>
          <w:p w14:paraId="2DC381D1" w14:textId="77777777" w:rsidR="005C397E" w:rsidRDefault="005C397E" w:rsidP="005C397E">
            <w:pPr>
              <w:pStyle w:val="NoSpacing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Useful resources </w:t>
            </w:r>
          </w:p>
          <w:p w14:paraId="4057EA1F" w14:textId="77777777" w:rsidR="005C397E" w:rsidRDefault="005C397E" w:rsidP="005C397E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Tutor2u – resources for A-Level Politics </w:t>
            </w:r>
          </w:p>
          <w:p w14:paraId="07BD6DC6" w14:textId="77777777" w:rsidR="005C397E" w:rsidRDefault="00E21ACA" w:rsidP="005C397E">
            <w:pPr>
              <w:pStyle w:val="NoSpacing"/>
              <w:rPr>
                <w:rFonts w:asciiTheme="minorHAnsi" w:eastAsia="Times New Roman" w:hAnsiTheme="minorHAnsi" w:cs="Tahoma"/>
                <w:sz w:val="18"/>
                <w:szCs w:val="20"/>
              </w:rPr>
            </w:pPr>
            <w:hyperlink r:id="rId15" w:history="1">
              <w:r w:rsidR="005C397E">
                <w:rPr>
                  <w:rStyle w:val="Hyperlink"/>
                  <w:rFonts w:asciiTheme="minorHAnsi" w:hAnsiTheme="minorHAnsi"/>
                  <w:sz w:val="20"/>
                </w:rPr>
                <w:t>https://www.tutor2u.net/politics</w:t>
              </w:r>
            </w:hyperlink>
          </w:p>
          <w:p w14:paraId="0928F57D" w14:textId="77777777" w:rsidR="005C397E" w:rsidRDefault="005C397E" w:rsidP="005C397E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Politics Review Magazines – Extra Resources </w:t>
            </w:r>
          </w:p>
          <w:p w14:paraId="035E6480" w14:textId="77777777" w:rsidR="005C397E" w:rsidRDefault="00E21ACA" w:rsidP="005C397E">
            <w:pPr>
              <w:pStyle w:val="NoSpacing"/>
              <w:rPr>
                <w:rStyle w:val="Hyperlink"/>
                <w:rFonts w:eastAsia="Cambria"/>
                <w:szCs w:val="24"/>
              </w:rPr>
            </w:pPr>
            <w:hyperlink r:id="rId16" w:history="1">
              <w:r w:rsidR="005C397E">
                <w:rPr>
                  <w:rStyle w:val="Hyperlink"/>
                  <w:rFonts w:asciiTheme="minorHAnsi" w:hAnsiTheme="minorHAnsi"/>
                  <w:sz w:val="20"/>
                </w:rPr>
                <w:t>https://www.hoddereducation.co.uk/magazines/magazines-extras/politics-review-extras</w:t>
              </w:r>
            </w:hyperlink>
          </w:p>
          <w:p w14:paraId="2073A9FC" w14:textId="7B772816" w:rsidR="00D00313" w:rsidRPr="005C397E" w:rsidRDefault="005C397E" w:rsidP="006A3F9F">
            <w:pPr>
              <w:pStyle w:val="NoSpacing"/>
              <w:rPr>
                <w:rFonts w:asciiTheme="minorHAnsi" w:hAnsiTheme="minorHAnsi" w:cstheme="minorHAnsi"/>
                <w:color w:val="0563C2"/>
                <w:sz w:val="20"/>
              </w:rPr>
            </w:pPr>
            <w:r>
              <w:rPr>
                <w:rFonts w:asciiTheme="minorHAnsi" w:hAnsiTheme="minorHAnsi" w:cstheme="minorHAnsi"/>
                <w:color w:val="0563C2"/>
                <w:sz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26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33"/>
        <w:gridCol w:w="1087"/>
      </w:tblGrid>
      <w:tr w:rsidR="005C397E" w14:paraId="52B9A7D6" w14:textId="77777777" w:rsidTr="005C397E">
        <w:trPr>
          <w:trHeight w:val="520"/>
        </w:trPr>
        <w:tc>
          <w:tcPr>
            <w:tcW w:w="9333" w:type="dxa"/>
          </w:tcPr>
          <w:p w14:paraId="7B3DF360" w14:textId="77777777" w:rsidR="005C397E" w:rsidRDefault="005C397E" w:rsidP="005C397E">
            <w:r>
              <w:rPr>
                <w:b/>
                <w:sz w:val="32"/>
                <w:szCs w:val="32"/>
              </w:rPr>
              <w:lastRenderedPageBreak/>
              <w:t>Wider Reading</w:t>
            </w:r>
          </w:p>
        </w:tc>
        <w:tc>
          <w:tcPr>
            <w:tcW w:w="1087" w:type="dxa"/>
          </w:tcPr>
          <w:p w14:paraId="12AEB099" w14:textId="77777777" w:rsidR="005C397E" w:rsidRDefault="005C397E" w:rsidP="005C397E">
            <w:pPr>
              <w:rPr>
                <w:noProof/>
                <w:lang w:eastAsia="en-GB"/>
              </w:rPr>
            </w:pPr>
            <w:r w:rsidRPr="005C397E">
              <w:rPr>
                <w:sz w:val="44"/>
                <w:szCs w:val="20"/>
              </w:rPr>
              <w:sym w:font="Wingdings 2" w:char="F050"/>
            </w:r>
          </w:p>
        </w:tc>
      </w:tr>
      <w:tr w:rsidR="005C397E" w14:paraId="66DB5A0A" w14:textId="77777777" w:rsidTr="005C397E">
        <w:trPr>
          <w:trHeight w:val="937"/>
        </w:trPr>
        <w:tc>
          <w:tcPr>
            <w:tcW w:w="9333" w:type="dxa"/>
          </w:tcPr>
          <w:p w14:paraId="47A8260C" w14:textId="77777777" w:rsidR="00AA1254" w:rsidRDefault="00AA1254" w:rsidP="00AA1254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88B85E" w14:textId="77777777" w:rsidR="005C397E" w:rsidRPr="000F7EB3" w:rsidRDefault="00430C97" w:rsidP="00325836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  <w:r>
              <w:rPr>
                <w:lang w:val="en-US"/>
              </w:rPr>
              <w:t xml:space="preserve">What determines the Prime Minister’s power? </w:t>
            </w:r>
            <w:r w:rsidR="000F7EB3">
              <w:rPr>
                <w:lang w:val="en-US"/>
              </w:rPr>
              <w:t>(</w:t>
            </w:r>
            <w:r>
              <w:rPr>
                <w:lang w:val="en-US"/>
              </w:rPr>
              <w:t>Politics Review</w:t>
            </w:r>
            <w:r w:rsidR="000F7EB3">
              <w:rPr>
                <w:lang w:val="en-US"/>
              </w:rPr>
              <w:t>, 2019)</w:t>
            </w:r>
          </w:p>
          <w:p w14:paraId="2A4B83C9" w14:textId="77777777" w:rsidR="000F7EB3" w:rsidRPr="000F7EB3" w:rsidRDefault="000F7EB3" w:rsidP="00325836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  <w:r>
              <w:rPr>
                <w:lang w:val="en-US"/>
              </w:rPr>
              <w:t xml:space="preserve">Ministerial Resignations </w:t>
            </w:r>
            <w:r>
              <w:rPr>
                <w:lang w:val="en-US"/>
              </w:rPr>
              <w:t>(Politics Review, 20</w:t>
            </w:r>
            <w:r>
              <w:rPr>
                <w:lang w:val="en-US"/>
              </w:rPr>
              <w:t>22</w:t>
            </w:r>
            <w:r>
              <w:rPr>
                <w:lang w:val="en-US"/>
              </w:rPr>
              <w:t>)</w:t>
            </w:r>
          </w:p>
          <w:p w14:paraId="2B773925" w14:textId="77777777" w:rsidR="000F7EB3" w:rsidRPr="000F7EB3" w:rsidRDefault="000F7EB3" w:rsidP="00325836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  <w:r>
              <w:rPr>
                <w:lang w:val="en-US"/>
              </w:rPr>
              <w:t>Forty years of prime ministerial power: 1979-2019</w:t>
            </w:r>
          </w:p>
          <w:p w14:paraId="59E84F6E" w14:textId="77777777" w:rsidR="000F7EB3" w:rsidRPr="000F7EB3" w:rsidRDefault="000F7EB3" w:rsidP="00325836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  <w:r>
              <w:rPr>
                <w:lang w:val="en-US"/>
              </w:rPr>
              <w:t xml:space="preserve">The Prime Minister and the Cabinet: theories and myths of executive power. </w:t>
            </w:r>
            <w:r>
              <w:rPr>
                <w:lang w:val="en-US"/>
              </w:rPr>
              <w:t>(Politics Review, 20</w:t>
            </w:r>
            <w:r>
              <w:rPr>
                <w:lang w:val="en-US"/>
              </w:rPr>
              <w:t>21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</w:p>
          <w:p w14:paraId="0452014F" w14:textId="77777777" w:rsidR="000F7EB3" w:rsidRPr="00710110" w:rsidRDefault="000F7EB3" w:rsidP="0071011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  <w:r>
              <w:rPr>
                <w:lang w:val="en-US"/>
              </w:rPr>
              <w:t xml:space="preserve">British Prime Ministers: power and success </w:t>
            </w:r>
            <w:r>
              <w:rPr>
                <w:lang w:val="en-US"/>
              </w:rPr>
              <w:t>(Politics Review, 20</w:t>
            </w:r>
            <w:r>
              <w:rPr>
                <w:lang w:val="en-US"/>
              </w:rPr>
              <w:t>20)</w:t>
            </w:r>
          </w:p>
          <w:p w14:paraId="0C138381" w14:textId="77777777" w:rsidR="00710110" w:rsidRPr="00710110" w:rsidRDefault="00710110" w:rsidP="0071011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  <w:r>
              <w:rPr>
                <w:lang w:val="en-US"/>
              </w:rPr>
              <w:t>Prime Minister and the Cabinet relations in 2019: from disunity to diversity? (Politics Annual Update, 2020)</w:t>
            </w:r>
          </w:p>
          <w:p w14:paraId="565598BA" w14:textId="43288AD1" w:rsidR="00710110" w:rsidRPr="00710110" w:rsidRDefault="00710110" w:rsidP="0071011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b/>
                <w:lang w:val="en-US"/>
              </w:rPr>
            </w:pPr>
          </w:p>
        </w:tc>
        <w:tc>
          <w:tcPr>
            <w:tcW w:w="1087" w:type="dxa"/>
          </w:tcPr>
          <w:p w14:paraId="2CD0F1DC" w14:textId="77777777" w:rsidR="005C397E" w:rsidRDefault="005C397E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1254" w14:paraId="35C8D528" w14:textId="77777777" w:rsidTr="00AA1254">
        <w:trPr>
          <w:trHeight w:val="496"/>
        </w:trPr>
        <w:tc>
          <w:tcPr>
            <w:tcW w:w="10420" w:type="dxa"/>
            <w:gridSpan w:val="2"/>
          </w:tcPr>
          <w:p w14:paraId="05F226D8" w14:textId="4759D7BA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254">
              <w:rPr>
                <w:rFonts w:ascii="Arial" w:hAnsi="Arial" w:cs="Arial"/>
                <w:b/>
                <w:color w:val="000000"/>
                <w:sz w:val="32"/>
                <w:szCs w:val="22"/>
              </w:rPr>
              <w:t>Exam Question</w:t>
            </w:r>
          </w:p>
        </w:tc>
      </w:tr>
      <w:tr w:rsidR="00AA1254" w14:paraId="70FB5AA1" w14:textId="77777777" w:rsidTr="00E21ACA">
        <w:trPr>
          <w:trHeight w:val="937"/>
        </w:trPr>
        <w:tc>
          <w:tcPr>
            <w:tcW w:w="10420" w:type="dxa"/>
            <w:gridSpan w:val="2"/>
          </w:tcPr>
          <w:p w14:paraId="0F5775EE" w14:textId="0EA799F9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25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Evaluate the view </w:t>
            </w:r>
            <w:r w:rsidR="00C5198A">
              <w:rPr>
                <w:rFonts w:ascii="Arial" w:hAnsi="Arial" w:cs="Arial"/>
                <w:b/>
                <w:color w:val="000000"/>
                <w:sz w:val="22"/>
                <w:szCs w:val="22"/>
              </w:rPr>
              <w:t>that the Cabinet is submissive to the Prime Minister</w:t>
            </w:r>
            <w:r w:rsidRPr="00AA1254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(30 marks)</w:t>
            </w:r>
          </w:p>
          <w:p w14:paraId="12826484" w14:textId="7777777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A52683" w14:textId="7777777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CE81B5" w14:textId="7777777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8390F0" w14:textId="6B445465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6699B5" w14:textId="762387B2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19BACA" w14:textId="121FAC6E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26B1A7" w14:textId="3B7A4EA0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272CBC" w14:textId="1FEC159F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0628C3" w14:textId="6A569CED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CF1301" w14:textId="7E18DE35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119716" w14:textId="0CDDD5FA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668707" w14:textId="3956DBA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3573C7" w14:textId="21A7788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C7A7B7" w14:textId="7679D4B2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E199DD" w14:textId="7BD88E05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CD54BF" w14:textId="0938F1D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A27F66" w14:textId="3CFE5208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9DDEEB" w14:textId="5A7D80F6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C941EC" w14:textId="12F2CB6F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732CDB" w14:textId="688C84A1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C901BB" w14:textId="47545CB1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74D296" w14:textId="3EBF87A1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990902" w14:textId="6352DA0A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A1254" w14:paraId="4DC81FBF" w14:textId="77777777" w:rsidTr="00AA1254">
        <w:trPr>
          <w:trHeight w:val="382"/>
        </w:trPr>
        <w:tc>
          <w:tcPr>
            <w:tcW w:w="10420" w:type="dxa"/>
            <w:gridSpan w:val="2"/>
          </w:tcPr>
          <w:p w14:paraId="1864784D" w14:textId="6004D714" w:rsidR="00AA1254" w:rsidRP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8"/>
                <w:szCs w:val="22"/>
              </w:rPr>
            </w:pPr>
            <w:r w:rsidRPr="00AA1254">
              <w:rPr>
                <w:rFonts w:ascii="Arial" w:hAnsi="Arial" w:cs="Arial"/>
                <w:b/>
                <w:color w:val="000000"/>
                <w:sz w:val="28"/>
                <w:szCs w:val="22"/>
              </w:rPr>
              <w:t>Teacher Question Time</w:t>
            </w:r>
          </w:p>
          <w:p w14:paraId="2EC4C50C" w14:textId="788A4926" w:rsidR="00AA1254" w:rsidRP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254">
              <w:rPr>
                <w:rFonts w:ascii="Arial" w:hAnsi="Arial" w:cs="Arial"/>
                <w:color w:val="000000"/>
                <w:sz w:val="22"/>
                <w:szCs w:val="22"/>
              </w:rPr>
              <w:t>Write questions below you would like the teacher to clarify your understanding on</w:t>
            </w:r>
          </w:p>
        </w:tc>
      </w:tr>
      <w:tr w:rsidR="00AA1254" w14:paraId="20F11822" w14:textId="77777777" w:rsidTr="00E21ACA">
        <w:trPr>
          <w:trHeight w:val="937"/>
        </w:trPr>
        <w:tc>
          <w:tcPr>
            <w:tcW w:w="10420" w:type="dxa"/>
            <w:gridSpan w:val="2"/>
          </w:tcPr>
          <w:p w14:paraId="67ED79CD" w14:textId="7777777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A49D5B6" w14:textId="7777777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A12AD2" w14:textId="7777777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E293298" w14:textId="7777777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AE8E501" w14:textId="77777777" w:rsid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BE1324" w14:textId="23A61601" w:rsidR="00AA1254" w:rsidRPr="00AA1254" w:rsidRDefault="00AA1254" w:rsidP="005C397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402B169" w14:textId="668B73AA" w:rsidR="002327F7" w:rsidRDefault="002327F7"/>
    <w:p w14:paraId="265D0CF2" w14:textId="1E82638F" w:rsidR="002327F7" w:rsidRDefault="002327F7"/>
    <w:p w14:paraId="069B404D" w14:textId="5F5BC1FB" w:rsidR="00984E57" w:rsidRDefault="00984E57" w:rsidP="009A5102"/>
    <w:sectPr w:rsidR="00984E57" w:rsidSect="00242475">
      <w:headerReference w:type="default" r:id="rId17"/>
      <w:pgSz w:w="11906" w:h="16838"/>
      <w:pgMar w:top="44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24BBF" w14:textId="77777777" w:rsidR="00430C97" w:rsidRDefault="00430C97" w:rsidP="00984E57">
      <w:pPr>
        <w:spacing w:after="0" w:line="240" w:lineRule="auto"/>
      </w:pPr>
      <w:r>
        <w:separator/>
      </w:r>
    </w:p>
  </w:endnote>
  <w:endnote w:type="continuationSeparator" w:id="0">
    <w:p w14:paraId="54378D7E" w14:textId="77777777" w:rsidR="00430C97" w:rsidRDefault="00430C97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30D06" w14:textId="77777777" w:rsidR="00430C97" w:rsidRDefault="00430C97" w:rsidP="00984E57">
      <w:pPr>
        <w:spacing w:after="0" w:line="240" w:lineRule="auto"/>
      </w:pPr>
      <w:r>
        <w:separator/>
      </w:r>
    </w:p>
  </w:footnote>
  <w:footnote w:type="continuationSeparator" w:id="0">
    <w:p w14:paraId="42AE5205" w14:textId="77777777" w:rsidR="00430C97" w:rsidRDefault="00430C97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616CD" w14:textId="77777777" w:rsidR="00430C97" w:rsidRPr="00984E57" w:rsidRDefault="00430C97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C2F6ACE" wp14:editId="3221234C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659987" w14:textId="77777777" w:rsidR="00430C97" w:rsidRPr="00C55C59" w:rsidRDefault="00430C97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38BFAEFA" w14:textId="77777777" w:rsidR="00430C97" w:rsidRPr="00426053" w:rsidRDefault="00430C97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FD4"/>
    <w:multiLevelType w:val="hybridMultilevel"/>
    <w:tmpl w:val="85163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93D"/>
    <w:multiLevelType w:val="hybridMultilevel"/>
    <w:tmpl w:val="9FE23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EFC"/>
    <w:multiLevelType w:val="multilevel"/>
    <w:tmpl w:val="1DBC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C5950"/>
    <w:multiLevelType w:val="multilevel"/>
    <w:tmpl w:val="32AE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91F04"/>
    <w:multiLevelType w:val="hybridMultilevel"/>
    <w:tmpl w:val="2F5A03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B6CB1"/>
    <w:multiLevelType w:val="hybridMultilevel"/>
    <w:tmpl w:val="9B768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42A"/>
    <w:multiLevelType w:val="hybridMultilevel"/>
    <w:tmpl w:val="CB96B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F67"/>
    <w:multiLevelType w:val="hybridMultilevel"/>
    <w:tmpl w:val="F136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CDC"/>
    <w:multiLevelType w:val="hybridMultilevel"/>
    <w:tmpl w:val="BDEA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36AB0"/>
    <w:multiLevelType w:val="hybridMultilevel"/>
    <w:tmpl w:val="71F2D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071B"/>
    <w:multiLevelType w:val="hybridMultilevel"/>
    <w:tmpl w:val="6BEA7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13C5A"/>
    <w:multiLevelType w:val="hybridMultilevel"/>
    <w:tmpl w:val="16A2B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0765F"/>
    <w:multiLevelType w:val="multilevel"/>
    <w:tmpl w:val="CEB6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1082"/>
    <w:multiLevelType w:val="hybridMultilevel"/>
    <w:tmpl w:val="E4205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87A02"/>
    <w:multiLevelType w:val="hybridMultilevel"/>
    <w:tmpl w:val="D5C21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F0AE7"/>
    <w:multiLevelType w:val="hybridMultilevel"/>
    <w:tmpl w:val="CDB63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778E"/>
    <w:multiLevelType w:val="hybridMultilevel"/>
    <w:tmpl w:val="888AB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C409A"/>
    <w:multiLevelType w:val="hybridMultilevel"/>
    <w:tmpl w:val="1284B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577E"/>
    <w:multiLevelType w:val="hybridMultilevel"/>
    <w:tmpl w:val="881E7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732"/>
    <w:multiLevelType w:val="hybridMultilevel"/>
    <w:tmpl w:val="6E6ED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33363"/>
    <w:multiLevelType w:val="hybridMultilevel"/>
    <w:tmpl w:val="1CCC0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7814"/>
    <w:multiLevelType w:val="hybridMultilevel"/>
    <w:tmpl w:val="E8D4C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42F7A"/>
    <w:multiLevelType w:val="hybridMultilevel"/>
    <w:tmpl w:val="1BCCB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C50B5"/>
    <w:multiLevelType w:val="hybridMultilevel"/>
    <w:tmpl w:val="0A3C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A40D7"/>
    <w:multiLevelType w:val="hybridMultilevel"/>
    <w:tmpl w:val="9710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E3D70"/>
    <w:multiLevelType w:val="hybridMultilevel"/>
    <w:tmpl w:val="7EBEB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94538"/>
    <w:multiLevelType w:val="multilevel"/>
    <w:tmpl w:val="4F4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21664"/>
    <w:multiLevelType w:val="hybridMultilevel"/>
    <w:tmpl w:val="1534F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14F4B"/>
    <w:multiLevelType w:val="multilevel"/>
    <w:tmpl w:val="745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843A76"/>
    <w:multiLevelType w:val="multilevel"/>
    <w:tmpl w:val="24A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CF0357"/>
    <w:multiLevelType w:val="hybridMultilevel"/>
    <w:tmpl w:val="9F3E7554"/>
    <w:lvl w:ilvl="0" w:tplc="B4942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F0210"/>
    <w:multiLevelType w:val="hybridMultilevel"/>
    <w:tmpl w:val="B41C0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57C10"/>
    <w:multiLevelType w:val="hybridMultilevel"/>
    <w:tmpl w:val="AA841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FCE"/>
    <w:multiLevelType w:val="hybridMultilevel"/>
    <w:tmpl w:val="37A88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13229"/>
    <w:multiLevelType w:val="hybridMultilevel"/>
    <w:tmpl w:val="246A7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11E1B"/>
    <w:multiLevelType w:val="hybridMultilevel"/>
    <w:tmpl w:val="369EA1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B40AE8"/>
    <w:multiLevelType w:val="hybridMultilevel"/>
    <w:tmpl w:val="3D12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30"/>
  </w:num>
  <w:num w:numId="4">
    <w:abstractNumId w:val="41"/>
  </w:num>
  <w:num w:numId="5">
    <w:abstractNumId w:val="19"/>
  </w:num>
  <w:num w:numId="6">
    <w:abstractNumId w:val="27"/>
  </w:num>
  <w:num w:numId="7">
    <w:abstractNumId w:val="36"/>
  </w:num>
  <w:num w:numId="8">
    <w:abstractNumId w:val="8"/>
  </w:num>
  <w:num w:numId="9">
    <w:abstractNumId w:val="20"/>
  </w:num>
  <w:num w:numId="10">
    <w:abstractNumId w:val="37"/>
  </w:num>
  <w:num w:numId="11">
    <w:abstractNumId w:val="24"/>
  </w:num>
  <w:num w:numId="12">
    <w:abstractNumId w:val="14"/>
  </w:num>
  <w:num w:numId="13">
    <w:abstractNumId w:val="22"/>
  </w:num>
  <w:num w:numId="14">
    <w:abstractNumId w:val="17"/>
  </w:num>
  <w:num w:numId="15">
    <w:abstractNumId w:val="6"/>
  </w:num>
  <w:num w:numId="16">
    <w:abstractNumId w:val="25"/>
  </w:num>
  <w:num w:numId="17">
    <w:abstractNumId w:val="11"/>
  </w:num>
  <w:num w:numId="18">
    <w:abstractNumId w:val="9"/>
  </w:num>
  <w:num w:numId="19">
    <w:abstractNumId w:val="42"/>
  </w:num>
  <w:num w:numId="20">
    <w:abstractNumId w:val="21"/>
  </w:num>
  <w:num w:numId="21">
    <w:abstractNumId w:val="1"/>
  </w:num>
  <w:num w:numId="22">
    <w:abstractNumId w:val="0"/>
  </w:num>
  <w:num w:numId="23">
    <w:abstractNumId w:val="16"/>
  </w:num>
  <w:num w:numId="24">
    <w:abstractNumId w:val="23"/>
  </w:num>
  <w:num w:numId="25">
    <w:abstractNumId w:val="26"/>
  </w:num>
  <w:num w:numId="26">
    <w:abstractNumId w:val="7"/>
  </w:num>
  <w:num w:numId="27">
    <w:abstractNumId w:val="31"/>
  </w:num>
  <w:num w:numId="28">
    <w:abstractNumId w:val="38"/>
  </w:num>
  <w:num w:numId="29">
    <w:abstractNumId w:val="28"/>
  </w:num>
  <w:num w:numId="30">
    <w:abstractNumId w:val="35"/>
  </w:num>
  <w:num w:numId="31">
    <w:abstractNumId w:val="5"/>
  </w:num>
  <w:num w:numId="32">
    <w:abstractNumId w:val="18"/>
  </w:num>
  <w:num w:numId="33">
    <w:abstractNumId w:val="3"/>
  </w:num>
  <w:num w:numId="34">
    <w:abstractNumId w:val="10"/>
  </w:num>
  <w:num w:numId="35">
    <w:abstractNumId w:val="15"/>
  </w:num>
  <w:num w:numId="36">
    <w:abstractNumId w:val="4"/>
  </w:num>
  <w:num w:numId="37">
    <w:abstractNumId w:val="29"/>
  </w:num>
  <w:num w:numId="38">
    <w:abstractNumId w:val="32"/>
  </w:num>
  <w:num w:numId="39">
    <w:abstractNumId w:val="33"/>
  </w:num>
  <w:num w:numId="40">
    <w:abstractNumId w:val="40"/>
  </w:num>
  <w:num w:numId="41">
    <w:abstractNumId w:val="2"/>
  </w:num>
  <w:num w:numId="42">
    <w:abstractNumId w:val="3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410E6"/>
    <w:rsid w:val="00043908"/>
    <w:rsid w:val="00060C2A"/>
    <w:rsid w:val="00077AF0"/>
    <w:rsid w:val="00091555"/>
    <w:rsid w:val="000921EB"/>
    <w:rsid w:val="000A6FA2"/>
    <w:rsid w:val="000D20B9"/>
    <w:rsid w:val="000D48FF"/>
    <w:rsid w:val="000E0915"/>
    <w:rsid w:val="000E107C"/>
    <w:rsid w:val="000F7EB3"/>
    <w:rsid w:val="00107458"/>
    <w:rsid w:val="001141E7"/>
    <w:rsid w:val="001247C3"/>
    <w:rsid w:val="001309EF"/>
    <w:rsid w:val="001377DF"/>
    <w:rsid w:val="00141096"/>
    <w:rsid w:val="001417CF"/>
    <w:rsid w:val="00156A42"/>
    <w:rsid w:val="00194523"/>
    <w:rsid w:val="001A2A13"/>
    <w:rsid w:val="001B0814"/>
    <w:rsid w:val="001B2A9A"/>
    <w:rsid w:val="001E04CE"/>
    <w:rsid w:val="002031E4"/>
    <w:rsid w:val="00216BCA"/>
    <w:rsid w:val="00221BFB"/>
    <w:rsid w:val="002327F7"/>
    <w:rsid w:val="00241296"/>
    <w:rsid w:val="00242475"/>
    <w:rsid w:val="002570D1"/>
    <w:rsid w:val="00287B95"/>
    <w:rsid w:val="002932C6"/>
    <w:rsid w:val="002B0A97"/>
    <w:rsid w:val="002B3AEC"/>
    <w:rsid w:val="002C7104"/>
    <w:rsid w:val="002D7BC3"/>
    <w:rsid w:val="002D7CFC"/>
    <w:rsid w:val="002E2CE5"/>
    <w:rsid w:val="002E3248"/>
    <w:rsid w:val="002E3FC0"/>
    <w:rsid w:val="002F29AF"/>
    <w:rsid w:val="00302134"/>
    <w:rsid w:val="003178D0"/>
    <w:rsid w:val="00325836"/>
    <w:rsid w:val="003260F3"/>
    <w:rsid w:val="00327542"/>
    <w:rsid w:val="0036351C"/>
    <w:rsid w:val="00363B9C"/>
    <w:rsid w:val="00366DBF"/>
    <w:rsid w:val="00384EFE"/>
    <w:rsid w:val="003A51D5"/>
    <w:rsid w:val="003B3B7B"/>
    <w:rsid w:val="003B7D12"/>
    <w:rsid w:val="003F3A11"/>
    <w:rsid w:val="003F45EC"/>
    <w:rsid w:val="003F536E"/>
    <w:rsid w:val="0041629F"/>
    <w:rsid w:val="00426053"/>
    <w:rsid w:val="00430C97"/>
    <w:rsid w:val="004335E9"/>
    <w:rsid w:val="0045506C"/>
    <w:rsid w:val="00464E53"/>
    <w:rsid w:val="00474EC6"/>
    <w:rsid w:val="0048775D"/>
    <w:rsid w:val="004A010F"/>
    <w:rsid w:val="004B46EC"/>
    <w:rsid w:val="004C11FA"/>
    <w:rsid w:val="004C70D9"/>
    <w:rsid w:val="004D44FC"/>
    <w:rsid w:val="00500F64"/>
    <w:rsid w:val="00507B9D"/>
    <w:rsid w:val="00522033"/>
    <w:rsid w:val="00547B46"/>
    <w:rsid w:val="005740BF"/>
    <w:rsid w:val="00582B41"/>
    <w:rsid w:val="00584622"/>
    <w:rsid w:val="00584DA8"/>
    <w:rsid w:val="005B705E"/>
    <w:rsid w:val="005C1C3C"/>
    <w:rsid w:val="005C397E"/>
    <w:rsid w:val="005D3B7D"/>
    <w:rsid w:val="005E0FA7"/>
    <w:rsid w:val="005F1228"/>
    <w:rsid w:val="006237BA"/>
    <w:rsid w:val="00623EDD"/>
    <w:rsid w:val="00626CA3"/>
    <w:rsid w:val="006562B2"/>
    <w:rsid w:val="00661920"/>
    <w:rsid w:val="00664919"/>
    <w:rsid w:val="00691E69"/>
    <w:rsid w:val="00693976"/>
    <w:rsid w:val="006A3CFB"/>
    <w:rsid w:val="006A3F9F"/>
    <w:rsid w:val="006B388B"/>
    <w:rsid w:val="006B5E5B"/>
    <w:rsid w:val="006D3B63"/>
    <w:rsid w:val="00710110"/>
    <w:rsid w:val="007156B6"/>
    <w:rsid w:val="007234E2"/>
    <w:rsid w:val="00726C55"/>
    <w:rsid w:val="00732705"/>
    <w:rsid w:val="007359A6"/>
    <w:rsid w:val="0073639B"/>
    <w:rsid w:val="00742F84"/>
    <w:rsid w:val="0075595E"/>
    <w:rsid w:val="00755EC4"/>
    <w:rsid w:val="00757409"/>
    <w:rsid w:val="007802E4"/>
    <w:rsid w:val="007927E7"/>
    <w:rsid w:val="00796BF7"/>
    <w:rsid w:val="007A29BA"/>
    <w:rsid w:val="007B1DCB"/>
    <w:rsid w:val="007B2833"/>
    <w:rsid w:val="007D7B88"/>
    <w:rsid w:val="007E03E0"/>
    <w:rsid w:val="007F3F11"/>
    <w:rsid w:val="008079DE"/>
    <w:rsid w:val="0083166E"/>
    <w:rsid w:val="00832182"/>
    <w:rsid w:val="0085462E"/>
    <w:rsid w:val="00860A28"/>
    <w:rsid w:val="0086384A"/>
    <w:rsid w:val="00867047"/>
    <w:rsid w:val="00874D31"/>
    <w:rsid w:val="00876F45"/>
    <w:rsid w:val="00881388"/>
    <w:rsid w:val="008862D6"/>
    <w:rsid w:val="00897D59"/>
    <w:rsid w:val="008A7955"/>
    <w:rsid w:val="008C1F34"/>
    <w:rsid w:val="008C698E"/>
    <w:rsid w:val="008F0FF5"/>
    <w:rsid w:val="00906340"/>
    <w:rsid w:val="0091602E"/>
    <w:rsid w:val="009468A2"/>
    <w:rsid w:val="00952857"/>
    <w:rsid w:val="009637EB"/>
    <w:rsid w:val="00966F6F"/>
    <w:rsid w:val="009679FB"/>
    <w:rsid w:val="009765DE"/>
    <w:rsid w:val="009811F7"/>
    <w:rsid w:val="00984E57"/>
    <w:rsid w:val="00994C23"/>
    <w:rsid w:val="00997B03"/>
    <w:rsid w:val="009A5102"/>
    <w:rsid w:val="009B099E"/>
    <w:rsid w:val="009C6AC5"/>
    <w:rsid w:val="009F5D63"/>
    <w:rsid w:val="00A13440"/>
    <w:rsid w:val="00A16A80"/>
    <w:rsid w:val="00A3272E"/>
    <w:rsid w:val="00A4320E"/>
    <w:rsid w:val="00A517B3"/>
    <w:rsid w:val="00A51903"/>
    <w:rsid w:val="00A52077"/>
    <w:rsid w:val="00A53C59"/>
    <w:rsid w:val="00A578A4"/>
    <w:rsid w:val="00AA1254"/>
    <w:rsid w:val="00AC2F7E"/>
    <w:rsid w:val="00AC40B1"/>
    <w:rsid w:val="00AD3C46"/>
    <w:rsid w:val="00AE31E0"/>
    <w:rsid w:val="00AF42A4"/>
    <w:rsid w:val="00B06A1B"/>
    <w:rsid w:val="00B34339"/>
    <w:rsid w:val="00B5517F"/>
    <w:rsid w:val="00B66724"/>
    <w:rsid w:val="00B7350F"/>
    <w:rsid w:val="00B74C77"/>
    <w:rsid w:val="00B81C73"/>
    <w:rsid w:val="00B8286A"/>
    <w:rsid w:val="00B8550B"/>
    <w:rsid w:val="00B86C23"/>
    <w:rsid w:val="00B87B09"/>
    <w:rsid w:val="00B91978"/>
    <w:rsid w:val="00BB2106"/>
    <w:rsid w:val="00BB2B41"/>
    <w:rsid w:val="00BB3B99"/>
    <w:rsid w:val="00BC64A5"/>
    <w:rsid w:val="00BD5A1D"/>
    <w:rsid w:val="00BE1989"/>
    <w:rsid w:val="00BF27A4"/>
    <w:rsid w:val="00C071C3"/>
    <w:rsid w:val="00C32526"/>
    <w:rsid w:val="00C3457E"/>
    <w:rsid w:val="00C373D0"/>
    <w:rsid w:val="00C42340"/>
    <w:rsid w:val="00C4438A"/>
    <w:rsid w:val="00C47AEA"/>
    <w:rsid w:val="00C5198A"/>
    <w:rsid w:val="00C5396E"/>
    <w:rsid w:val="00C55C59"/>
    <w:rsid w:val="00C571A8"/>
    <w:rsid w:val="00C6442F"/>
    <w:rsid w:val="00C732AB"/>
    <w:rsid w:val="00C77D70"/>
    <w:rsid w:val="00C95428"/>
    <w:rsid w:val="00CA09C7"/>
    <w:rsid w:val="00CA0DF2"/>
    <w:rsid w:val="00CA5FE6"/>
    <w:rsid w:val="00CB05C6"/>
    <w:rsid w:val="00CB4A35"/>
    <w:rsid w:val="00CB606E"/>
    <w:rsid w:val="00CC7F65"/>
    <w:rsid w:val="00CD7AA4"/>
    <w:rsid w:val="00CE6B2F"/>
    <w:rsid w:val="00D00313"/>
    <w:rsid w:val="00D3787D"/>
    <w:rsid w:val="00D61C5B"/>
    <w:rsid w:val="00D646C7"/>
    <w:rsid w:val="00D9591E"/>
    <w:rsid w:val="00D95B13"/>
    <w:rsid w:val="00D9720D"/>
    <w:rsid w:val="00DA4E45"/>
    <w:rsid w:val="00E21ACA"/>
    <w:rsid w:val="00E26750"/>
    <w:rsid w:val="00E34A66"/>
    <w:rsid w:val="00E378E5"/>
    <w:rsid w:val="00E74250"/>
    <w:rsid w:val="00E82E2A"/>
    <w:rsid w:val="00E9436B"/>
    <w:rsid w:val="00E94A54"/>
    <w:rsid w:val="00EB0F04"/>
    <w:rsid w:val="00EE7A02"/>
    <w:rsid w:val="00F170FF"/>
    <w:rsid w:val="00F26CFC"/>
    <w:rsid w:val="00F35FEA"/>
    <w:rsid w:val="00F361E3"/>
    <w:rsid w:val="00F3772C"/>
    <w:rsid w:val="00F50813"/>
    <w:rsid w:val="00F51483"/>
    <w:rsid w:val="00F51F52"/>
    <w:rsid w:val="00F54640"/>
    <w:rsid w:val="00F6118B"/>
    <w:rsid w:val="00F67364"/>
    <w:rsid w:val="00F72258"/>
    <w:rsid w:val="00F851A1"/>
    <w:rsid w:val="00F87411"/>
    <w:rsid w:val="00F95409"/>
    <w:rsid w:val="00FA0037"/>
    <w:rsid w:val="00FA05B7"/>
    <w:rsid w:val="00FA53E7"/>
    <w:rsid w:val="00FB422E"/>
    <w:rsid w:val="00FB588C"/>
    <w:rsid w:val="00FB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5F924E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F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3E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02134"/>
  </w:style>
  <w:style w:type="paragraph" w:styleId="NormalWeb">
    <w:name w:val="Normal (Web)"/>
    <w:basedOn w:val="Normal"/>
    <w:uiPriority w:val="99"/>
    <w:unhideWhenUsed/>
    <w:rsid w:val="006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politics" TargetMode="External"/><Relationship Id="rId13" Type="http://schemas.openxmlformats.org/officeDocument/2006/relationships/hyperlink" Target="https://blogs.lse.ac.uk/politicsandpolic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guardian.com/politic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oddereducation.co.uk/magazines/magazines-extras/politics-review-extr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legraph.co.uk/polit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tor2u.net/politics" TargetMode="External"/><Relationship Id="rId10" Type="http://schemas.openxmlformats.org/officeDocument/2006/relationships/hyperlink" Target="https://www.economist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annel4.com/news/" TargetMode="External"/><Relationship Id="rId14" Type="http://schemas.openxmlformats.org/officeDocument/2006/relationships/hyperlink" Target="http://alevelpolitic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00FC2770-A28E-44FD-8660-3A116EB0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Zaakir Akhtar</cp:lastModifiedBy>
  <cp:revision>37</cp:revision>
  <cp:lastPrinted>2022-04-22T11:21:00Z</cp:lastPrinted>
  <dcterms:created xsi:type="dcterms:W3CDTF">2022-06-15T10:24:00Z</dcterms:created>
  <dcterms:modified xsi:type="dcterms:W3CDTF">2022-06-15T11:17:00Z</dcterms:modified>
</cp:coreProperties>
</file>