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4E8" w:rsidRDefault="000804E8">
      <w:r>
        <w:rPr>
          <w:noProof/>
        </w:rPr>
        <w:drawing>
          <wp:anchor distT="0" distB="0" distL="114300" distR="114300" simplePos="0" relativeHeight="251658240" behindDoc="0" locked="0" layoutInCell="1" allowOverlap="1" wp14:anchorId="4E5D5BBC">
            <wp:simplePos x="0" y="0"/>
            <wp:positionH relativeFrom="column">
              <wp:posOffset>-371475</wp:posOffset>
            </wp:positionH>
            <wp:positionV relativeFrom="paragraph">
              <wp:posOffset>6477000</wp:posOffset>
            </wp:positionV>
            <wp:extent cx="6610985" cy="533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0985" cy="533400"/>
                    </a:xfrm>
                    <a:prstGeom prst="rect">
                      <a:avLst/>
                    </a:prstGeom>
                    <a:noFill/>
                  </pic:spPr>
                </pic:pic>
              </a:graphicData>
            </a:graphic>
            <wp14:sizeRelH relativeFrom="page">
              <wp14:pctWidth>0</wp14:pctWidth>
            </wp14:sizeRelH>
            <wp14:sizeRelV relativeFrom="page">
              <wp14:pctHeight>0</wp14:pctHeight>
            </wp14:sizeRelV>
          </wp:anchor>
        </w:drawing>
      </w:r>
    </w:p>
    <w:p w:rsidR="000804E8" w:rsidRDefault="000804E8"/>
    <w:tbl>
      <w:tblPr>
        <w:tblStyle w:val="TableGrid"/>
        <w:tblpPr w:leftFromText="180" w:rightFromText="180" w:vertAnchor="text" w:horzAnchor="margin" w:tblpXSpec="center" w:tblpY="-10605"/>
        <w:tblW w:w="105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781"/>
        <w:gridCol w:w="1985"/>
        <w:gridCol w:w="1796"/>
        <w:gridCol w:w="17"/>
      </w:tblGrid>
      <w:tr w:rsidR="000804E8" w:rsidRPr="000804E8" w:rsidTr="000804E8">
        <w:trPr>
          <w:trHeight w:val="995"/>
        </w:trPr>
        <w:tc>
          <w:tcPr>
            <w:tcW w:w="10579" w:type="dxa"/>
            <w:gridSpan w:val="4"/>
          </w:tcPr>
          <w:p w:rsidR="000804E8" w:rsidRPr="000804E8" w:rsidRDefault="000804E8" w:rsidP="000804E8">
            <w:r w:rsidRPr="000804E8">
              <w:rPr>
                <w:rFonts w:ascii="Arial" w:hAnsi="Arial" w:cs="Arial"/>
                <w:b/>
                <w:szCs w:val="24"/>
              </w:rPr>
              <w:t xml:space="preserve">Unit intention: </w:t>
            </w:r>
            <w:r w:rsidRPr="000804E8">
              <w:rPr>
                <w:rFonts w:cs="Myriad Pro Light"/>
                <w:color w:val="000000"/>
                <w:sz w:val="24"/>
              </w:rPr>
              <w:t xml:space="preserve"> </w:t>
            </w:r>
            <w:r w:rsidRPr="000804E8">
              <w:rPr>
                <w:rFonts w:cs="Myriad Pro Light"/>
                <w:color w:val="000000"/>
              </w:rPr>
              <w:t>Knowledge of how enzymes function and the factors that affect enzyme action has improved our understanding of biological processes and increased our use of enzymes in industry. Enzymes are studied at GCSE. Most students beginning A Level will understand the nature of enzymes, the mechanism of enzyme action, and factors that affect the rate of enzyme-controlled reactions. Students’ prior knowledge and understanding can be used as a base from which to introduce the greater depth and breadth required at A Level.</w:t>
            </w:r>
          </w:p>
          <w:p w:rsidR="000804E8" w:rsidRPr="000804E8" w:rsidRDefault="000804E8" w:rsidP="000804E8"/>
        </w:tc>
      </w:tr>
      <w:tr w:rsidR="000804E8" w:rsidRPr="000804E8" w:rsidTr="000804E8">
        <w:trPr>
          <w:gridAfter w:val="1"/>
          <w:wAfter w:w="17" w:type="dxa"/>
          <w:trHeight w:val="592"/>
        </w:trPr>
        <w:tc>
          <w:tcPr>
            <w:tcW w:w="6781" w:type="dxa"/>
          </w:tcPr>
          <w:p w:rsidR="000804E8" w:rsidRPr="000804E8" w:rsidRDefault="000804E8" w:rsidP="000804E8">
            <w:pPr>
              <w:rPr>
                <w:rFonts w:ascii="Arial" w:hAnsi="Arial" w:cs="Arial"/>
                <w:b/>
                <w:szCs w:val="24"/>
              </w:rPr>
            </w:pPr>
            <w:r w:rsidRPr="000804E8">
              <w:rPr>
                <w:rFonts w:ascii="Arial" w:hAnsi="Arial" w:cs="Arial"/>
                <w:b/>
                <w:szCs w:val="24"/>
              </w:rPr>
              <w:t>Success criteria:</w:t>
            </w:r>
          </w:p>
        </w:tc>
        <w:tc>
          <w:tcPr>
            <w:tcW w:w="1985" w:type="dxa"/>
          </w:tcPr>
          <w:p w:rsidR="000804E8" w:rsidRPr="000804E8" w:rsidRDefault="000804E8" w:rsidP="000804E8">
            <w:pPr>
              <w:jc w:val="center"/>
              <w:rPr>
                <w:sz w:val="32"/>
              </w:rPr>
            </w:pPr>
            <w:r w:rsidRPr="000804E8">
              <w:rPr>
                <w:sz w:val="32"/>
              </w:rPr>
              <w:sym w:font="Wingdings 2" w:char="F050"/>
            </w:r>
          </w:p>
        </w:tc>
        <w:tc>
          <w:tcPr>
            <w:tcW w:w="1796" w:type="dxa"/>
          </w:tcPr>
          <w:p w:rsidR="000804E8" w:rsidRPr="000804E8" w:rsidRDefault="000804E8" w:rsidP="000804E8">
            <w:pPr>
              <w:jc w:val="center"/>
              <w:rPr>
                <w:sz w:val="32"/>
              </w:rPr>
            </w:pPr>
            <w:r w:rsidRPr="000804E8">
              <w:rPr>
                <w:sz w:val="32"/>
              </w:rPr>
              <w:t>X</w:t>
            </w:r>
          </w:p>
        </w:tc>
      </w:tr>
      <w:tr w:rsidR="000804E8" w:rsidRPr="000804E8" w:rsidTr="000804E8">
        <w:trPr>
          <w:gridAfter w:val="1"/>
          <w:wAfter w:w="17" w:type="dxa"/>
          <w:trHeight w:val="2929"/>
        </w:trPr>
        <w:tc>
          <w:tcPr>
            <w:tcW w:w="6781" w:type="dxa"/>
          </w:tcPr>
          <w:p w:rsidR="000804E8" w:rsidRPr="000804E8" w:rsidRDefault="000804E8" w:rsidP="000804E8">
            <w:pPr>
              <w:spacing w:after="200" w:line="276" w:lineRule="auto"/>
            </w:pPr>
            <w:r w:rsidRPr="000804E8">
              <w:t>1.The mechanism of enzyme action</w:t>
            </w:r>
          </w:p>
          <w:p w:rsidR="000804E8" w:rsidRPr="000804E8" w:rsidRDefault="000804E8" w:rsidP="000804E8">
            <w:pPr>
              <w:spacing w:after="200" w:line="276" w:lineRule="auto"/>
            </w:pPr>
            <w:r w:rsidRPr="000804E8">
              <w:t>2.The role of enzymes in catalysing reactions that affect metabolism at a cellular and whole organism level.</w:t>
            </w:r>
          </w:p>
          <w:p w:rsidR="000804E8" w:rsidRPr="000804E8" w:rsidRDefault="000804E8" w:rsidP="000804E8">
            <w:pPr>
              <w:spacing w:after="200" w:line="276" w:lineRule="auto"/>
            </w:pPr>
            <w:r w:rsidRPr="000804E8">
              <w:t>3.The role of enzymes in catalysing both intracellular and extracellular reactions.</w:t>
            </w:r>
          </w:p>
          <w:p w:rsidR="000804E8" w:rsidRPr="000804E8" w:rsidRDefault="000804E8" w:rsidP="000804E8">
            <w:pPr>
              <w:spacing w:after="200" w:line="276" w:lineRule="auto"/>
            </w:pPr>
            <w:r w:rsidRPr="000804E8">
              <w:t xml:space="preserve">4.The effects of pH, temperature, enzyme concentration and substrate concentration on enzyme activity. </w:t>
            </w:r>
          </w:p>
          <w:p w:rsidR="000804E8" w:rsidRPr="000804E8" w:rsidRDefault="000804E8" w:rsidP="000804E8">
            <w:pPr>
              <w:spacing w:after="200" w:line="276" w:lineRule="auto"/>
            </w:pPr>
            <w:r w:rsidRPr="000804E8">
              <w:t xml:space="preserve">5.The need for coenzymes, cofactors and prosthetic groups in some enzyme-controlled reactions. </w:t>
            </w:r>
          </w:p>
          <w:p w:rsidR="000804E8" w:rsidRPr="000804E8" w:rsidRDefault="000804E8" w:rsidP="000804E8">
            <w:pPr>
              <w:spacing w:after="200" w:line="276" w:lineRule="auto"/>
            </w:pPr>
            <w:r w:rsidRPr="000804E8">
              <w:t xml:space="preserve">6.The effects of inhibitors on the rate of </w:t>
            </w:r>
            <w:proofErr w:type="gramStart"/>
            <w:r w:rsidRPr="000804E8">
              <w:t>enzyme controlled</w:t>
            </w:r>
            <w:proofErr w:type="gramEnd"/>
            <w:r w:rsidRPr="000804E8">
              <w:t xml:space="preserve"> reactions.</w:t>
            </w:r>
          </w:p>
        </w:tc>
        <w:tc>
          <w:tcPr>
            <w:tcW w:w="1985" w:type="dxa"/>
          </w:tcPr>
          <w:p w:rsidR="000804E8" w:rsidRPr="000804E8" w:rsidRDefault="000804E8" w:rsidP="000804E8">
            <w:pPr>
              <w:rPr>
                <w:sz w:val="14"/>
              </w:rPr>
            </w:pPr>
          </w:p>
        </w:tc>
        <w:tc>
          <w:tcPr>
            <w:tcW w:w="1796" w:type="dxa"/>
          </w:tcPr>
          <w:p w:rsidR="000804E8" w:rsidRPr="000804E8" w:rsidRDefault="000804E8" w:rsidP="000804E8">
            <w:pPr>
              <w:rPr>
                <w:sz w:val="14"/>
              </w:rPr>
            </w:pPr>
          </w:p>
        </w:tc>
      </w:tr>
      <w:tr w:rsidR="000804E8" w:rsidRPr="000804E8" w:rsidTr="000804E8">
        <w:trPr>
          <w:trHeight w:val="954"/>
        </w:trPr>
        <w:tc>
          <w:tcPr>
            <w:tcW w:w="10579" w:type="dxa"/>
            <w:gridSpan w:val="4"/>
          </w:tcPr>
          <w:p w:rsidR="000804E8" w:rsidRPr="000804E8" w:rsidRDefault="000804E8" w:rsidP="000804E8">
            <w:pPr>
              <w:rPr>
                <w:rFonts w:ascii="Arial" w:hAnsi="Arial" w:cs="Arial"/>
                <w:b/>
                <w:szCs w:val="24"/>
              </w:rPr>
            </w:pPr>
            <w:r w:rsidRPr="000804E8">
              <w:rPr>
                <w:rFonts w:ascii="Arial" w:hAnsi="Arial" w:cs="Arial"/>
                <w:b/>
                <w:szCs w:val="24"/>
              </w:rPr>
              <w:t>Unit summative and formative assessment details:</w:t>
            </w:r>
          </w:p>
          <w:p w:rsidR="000804E8" w:rsidRPr="000804E8" w:rsidRDefault="000804E8" w:rsidP="000804E8">
            <w:r w:rsidRPr="000804E8">
              <w:t xml:space="preserve">Weekly Seneca, factual re-call </w:t>
            </w:r>
          </w:p>
          <w:p w:rsidR="000804E8" w:rsidRPr="000804E8" w:rsidRDefault="000804E8" w:rsidP="000804E8">
            <w:r w:rsidRPr="000804E8">
              <w:t xml:space="preserve">Extended writing </w:t>
            </w:r>
          </w:p>
          <w:p w:rsidR="000804E8" w:rsidRPr="000804E8" w:rsidRDefault="000804E8" w:rsidP="000804E8">
            <w:pPr>
              <w:rPr>
                <w:sz w:val="14"/>
              </w:rPr>
            </w:pPr>
            <w:r w:rsidRPr="000804E8">
              <w:t>End of unit test</w:t>
            </w:r>
            <w:r w:rsidRPr="000804E8">
              <w:rPr>
                <w:sz w:val="14"/>
              </w:rPr>
              <w:t xml:space="preserve"> </w:t>
            </w:r>
          </w:p>
        </w:tc>
      </w:tr>
      <w:tr w:rsidR="000804E8" w:rsidRPr="000804E8" w:rsidTr="000804E8">
        <w:trPr>
          <w:trHeight w:val="1224"/>
        </w:trPr>
        <w:tc>
          <w:tcPr>
            <w:tcW w:w="10579" w:type="dxa"/>
            <w:gridSpan w:val="4"/>
          </w:tcPr>
          <w:p w:rsidR="000804E8" w:rsidRPr="000804E8" w:rsidRDefault="000804E8" w:rsidP="000804E8">
            <w:pPr>
              <w:rPr>
                <w:b/>
              </w:rPr>
            </w:pPr>
            <w:r w:rsidRPr="000804E8">
              <w:rPr>
                <w:b/>
              </w:rPr>
              <w:t>Home Learning (What and how often):</w:t>
            </w:r>
          </w:p>
          <w:p w:rsidR="000804E8" w:rsidRPr="000804E8" w:rsidRDefault="000804E8" w:rsidP="000804E8">
            <w:r w:rsidRPr="000804E8">
              <w:t>Homework once a week (flip learning and Seneca)</w:t>
            </w:r>
          </w:p>
          <w:p w:rsidR="000804E8" w:rsidRPr="000804E8" w:rsidRDefault="000804E8" w:rsidP="000804E8">
            <w:r w:rsidRPr="000804E8">
              <w:t>Revisit class content (make notes)</w:t>
            </w:r>
          </w:p>
          <w:p w:rsidR="000804E8" w:rsidRPr="000804E8" w:rsidRDefault="000804E8" w:rsidP="000804E8">
            <w:pPr>
              <w:rPr>
                <w:sz w:val="14"/>
              </w:rPr>
            </w:pPr>
            <w:r w:rsidRPr="000804E8">
              <w:t>Research activities for practical</w:t>
            </w:r>
            <w:r w:rsidRPr="000804E8">
              <w:rPr>
                <w:sz w:val="14"/>
              </w:rPr>
              <w:t xml:space="preserve"> </w:t>
            </w:r>
          </w:p>
        </w:tc>
      </w:tr>
      <w:tr w:rsidR="000804E8" w:rsidRPr="000804E8" w:rsidTr="000804E8">
        <w:trPr>
          <w:gridAfter w:val="1"/>
          <w:wAfter w:w="17" w:type="dxa"/>
          <w:trHeight w:val="3873"/>
        </w:trPr>
        <w:tc>
          <w:tcPr>
            <w:tcW w:w="6781" w:type="dxa"/>
          </w:tcPr>
          <w:p w:rsidR="000804E8" w:rsidRPr="000804E8" w:rsidRDefault="000804E8" w:rsidP="000804E8">
            <w:pPr>
              <w:rPr>
                <w:b/>
                <w:sz w:val="32"/>
                <w:highlight w:val="yellow"/>
              </w:rPr>
            </w:pPr>
            <w:r w:rsidRPr="000804E8">
              <w:rPr>
                <w:b/>
                <w:sz w:val="32"/>
                <w:highlight w:val="yellow"/>
              </w:rPr>
              <w:t>Topic Sequence</w:t>
            </w:r>
          </w:p>
          <w:p w:rsidR="000804E8" w:rsidRPr="000804E8" w:rsidRDefault="000804E8" w:rsidP="000804E8">
            <w:pPr>
              <w:numPr>
                <w:ilvl w:val="0"/>
                <w:numId w:val="1"/>
              </w:numPr>
              <w:rPr>
                <w:highlight w:val="yellow"/>
              </w:rPr>
            </w:pPr>
            <w:r w:rsidRPr="000804E8">
              <w:rPr>
                <w:sz w:val="28"/>
                <w:highlight w:val="yellow"/>
              </w:rPr>
              <w:t>Actions of Enzymes</w:t>
            </w:r>
          </w:p>
          <w:p w:rsidR="000804E8" w:rsidRPr="000804E8" w:rsidRDefault="000804E8" w:rsidP="000804E8">
            <w:pPr>
              <w:numPr>
                <w:ilvl w:val="0"/>
                <w:numId w:val="1"/>
              </w:numPr>
              <w:rPr>
                <w:highlight w:val="yellow"/>
              </w:rPr>
            </w:pPr>
            <w:r w:rsidRPr="000804E8">
              <w:rPr>
                <w:sz w:val="28"/>
                <w:highlight w:val="yellow"/>
              </w:rPr>
              <w:t xml:space="preserve">Factors affecting enzyme Activity </w:t>
            </w:r>
          </w:p>
          <w:p w:rsidR="000804E8" w:rsidRPr="000804E8" w:rsidRDefault="000804E8" w:rsidP="000804E8">
            <w:pPr>
              <w:numPr>
                <w:ilvl w:val="0"/>
                <w:numId w:val="1"/>
              </w:numPr>
              <w:rPr>
                <w:sz w:val="28"/>
                <w:szCs w:val="28"/>
                <w:highlight w:val="yellow"/>
              </w:rPr>
            </w:pPr>
            <w:r w:rsidRPr="000804E8">
              <w:rPr>
                <w:sz w:val="28"/>
                <w:szCs w:val="28"/>
                <w:highlight w:val="yellow"/>
              </w:rPr>
              <w:t>Cofactors and Enzyme Inhibition</w:t>
            </w:r>
          </w:p>
          <w:p w:rsidR="000804E8" w:rsidRPr="000804E8" w:rsidRDefault="000804E8" w:rsidP="000804E8">
            <w:pPr>
              <w:numPr>
                <w:ilvl w:val="0"/>
                <w:numId w:val="1"/>
              </w:numPr>
              <w:rPr>
                <w:highlight w:val="yellow"/>
              </w:rPr>
            </w:pPr>
            <w:r w:rsidRPr="000804E8">
              <w:rPr>
                <w:sz w:val="28"/>
                <w:szCs w:val="28"/>
                <w:highlight w:val="yellow"/>
              </w:rPr>
              <w:t>Cofactors continued</w:t>
            </w:r>
            <w:r w:rsidRPr="000804E8">
              <w:rPr>
                <w:highlight w:val="yellow"/>
              </w:rPr>
              <w:t xml:space="preserve"> </w:t>
            </w:r>
          </w:p>
        </w:tc>
        <w:tc>
          <w:tcPr>
            <w:tcW w:w="3781" w:type="dxa"/>
            <w:gridSpan w:val="2"/>
          </w:tcPr>
          <w:p w:rsidR="000804E8" w:rsidRPr="000804E8" w:rsidRDefault="000804E8" w:rsidP="000804E8">
            <w:pPr>
              <w:ind w:left="-1657" w:firstLine="1657"/>
              <w:rPr>
                <w:rFonts w:cs="Calibri"/>
                <w:b/>
                <w:sz w:val="24"/>
                <w:highlight w:val="yellow"/>
              </w:rPr>
            </w:pPr>
            <w:r w:rsidRPr="000804E8">
              <w:rPr>
                <w:rFonts w:cs="Calibri"/>
                <w:b/>
                <w:sz w:val="24"/>
                <w:highlight w:val="yellow"/>
              </w:rPr>
              <w:t xml:space="preserve">Recommended reading: </w:t>
            </w:r>
          </w:p>
          <w:p w:rsidR="000804E8" w:rsidRPr="000804E8" w:rsidRDefault="000804E8" w:rsidP="000804E8">
            <w:pPr>
              <w:rPr>
                <w:rFonts w:ascii="Verdana" w:hAnsi="Verdana" w:cs="MyriadPro-Regular"/>
              </w:rPr>
            </w:pPr>
          </w:p>
          <w:p w:rsidR="000804E8" w:rsidRPr="000804E8" w:rsidRDefault="000804E8" w:rsidP="000804E8">
            <w:pPr>
              <w:tabs>
                <w:tab w:val="left" w:pos="3790"/>
              </w:tabs>
              <w:spacing w:after="200" w:line="276" w:lineRule="auto"/>
              <w:rPr>
                <w:sz w:val="18"/>
              </w:rPr>
            </w:pPr>
            <w:hyperlink r:id="rId8" w:history="1">
              <w:r w:rsidRPr="000804E8">
                <w:rPr>
                  <w:color w:val="0000FF"/>
                  <w:sz w:val="18"/>
                  <w:u w:val="single"/>
                </w:rPr>
                <w:t>http://www.histologyguide.org/Slide_Box/Slide_Box.html</w:t>
              </w:r>
            </w:hyperlink>
          </w:p>
          <w:p w:rsidR="000804E8" w:rsidRPr="000804E8" w:rsidRDefault="000804E8" w:rsidP="000804E8">
            <w:pPr>
              <w:rPr>
                <w:sz w:val="18"/>
              </w:rPr>
            </w:pPr>
            <w:hyperlink r:id="rId9" w:history="1">
              <w:r w:rsidRPr="000804E8">
                <w:rPr>
                  <w:color w:val="0000FF"/>
                  <w:sz w:val="18"/>
                  <w:u w:val="single"/>
                </w:rPr>
                <w:t>http://www.saps.org.uk/secondary/teaching-resources/871-medicines-and-drugs-from-plants-trumps-card-game</w:t>
              </w:r>
            </w:hyperlink>
          </w:p>
          <w:p w:rsidR="000804E8" w:rsidRPr="000804E8" w:rsidRDefault="000804E8" w:rsidP="000804E8">
            <w:pPr>
              <w:rPr>
                <w:rFonts w:ascii="Verdana" w:hAnsi="Verdana" w:cs="MyriadPro-Regular"/>
              </w:rPr>
            </w:pPr>
          </w:p>
          <w:p w:rsidR="000804E8" w:rsidRPr="000804E8" w:rsidRDefault="000804E8" w:rsidP="000804E8">
            <w:pPr>
              <w:tabs>
                <w:tab w:val="left" w:pos="3790"/>
              </w:tabs>
              <w:spacing w:after="200" w:line="276" w:lineRule="auto"/>
              <w:rPr>
                <w:sz w:val="24"/>
              </w:rPr>
            </w:pPr>
            <w:proofErr w:type="gramStart"/>
            <w:r w:rsidRPr="000804E8">
              <w:rPr>
                <w:rFonts w:ascii="Verdana" w:hAnsi="Verdana" w:cs="MyriadPro-Regular"/>
              </w:rPr>
              <w:t xml:space="preserve">HPA  </w:t>
            </w:r>
            <w:r w:rsidRPr="000804E8">
              <w:rPr>
                <w:sz w:val="24"/>
              </w:rPr>
              <w:t>Recommended</w:t>
            </w:r>
            <w:proofErr w:type="gramEnd"/>
            <w:r w:rsidRPr="000804E8">
              <w:rPr>
                <w:sz w:val="24"/>
              </w:rPr>
              <w:t xml:space="preserve"> biological dictionary: </w:t>
            </w:r>
            <w:hyperlink r:id="rId10" w:history="1">
              <w:r w:rsidRPr="000804E8">
                <w:rPr>
                  <w:color w:val="0000FF"/>
                  <w:sz w:val="24"/>
                  <w:u w:val="single"/>
                </w:rPr>
                <w:t>http://www.biologyreference.com/</w:t>
              </w:r>
            </w:hyperlink>
          </w:p>
          <w:p w:rsidR="000804E8" w:rsidRPr="000804E8" w:rsidRDefault="000804E8" w:rsidP="000804E8"/>
        </w:tc>
      </w:tr>
    </w:tbl>
    <w:p w:rsidR="000804E8" w:rsidRDefault="000804E8"/>
    <w:p w:rsidR="000804E8" w:rsidRDefault="000804E8"/>
    <w:p w:rsidR="000804E8" w:rsidRDefault="000804E8"/>
    <w:p w:rsidR="000804E8" w:rsidRDefault="000804E8"/>
    <w:p w:rsidR="006210A2" w:rsidRDefault="000804E8"/>
    <w:p w:rsidR="000804E8" w:rsidRDefault="000804E8"/>
    <w:tbl>
      <w:tblPr>
        <w:tblStyle w:val="TableGrid"/>
        <w:tblpPr w:leftFromText="180" w:rightFromText="180" w:vertAnchor="page" w:horzAnchor="margin" w:tblpY="330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80"/>
      </w:tblGrid>
      <w:tr w:rsidR="000804E8" w:rsidTr="00207DF0">
        <w:trPr>
          <w:trHeight w:val="541"/>
        </w:trPr>
        <w:tc>
          <w:tcPr>
            <w:tcW w:w="10274" w:type="dxa"/>
          </w:tcPr>
          <w:p w:rsidR="000804E8" w:rsidRDefault="000804E8" w:rsidP="00207DF0">
            <w:r w:rsidRPr="00C55C59">
              <w:rPr>
                <w:b/>
                <w:sz w:val="32"/>
                <w:szCs w:val="32"/>
              </w:rPr>
              <w:t>Success criteria</w:t>
            </w:r>
            <w:r>
              <w:t xml:space="preserve"> – </w:t>
            </w:r>
            <w:r w:rsidRPr="001B0814">
              <w:rPr>
                <w:highlight w:val="yellow"/>
              </w:rPr>
              <w:t xml:space="preserve">Have you met them? Show your </w:t>
            </w:r>
            <w:r>
              <w:rPr>
                <w:highlight w:val="yellow"/>
                <w:u w:val="single"/>
              </w:rPr>
              <w:t>evidence</w:t>
            </w:r>
            <w:r w:rsidRPr="001B0814">
              <w:rPr>
                <w:highlight w:val="yellow"/>
              </w:rPr>
              <w:t xml:space="preserve"> in the boxes below</w:t>
            </w:r>
            <w:r>
              <w:t>.</w:t>
            </w:r>
          </w:p>
        </w:tc>
      </w:tr>
      <w:tr w:rsidR="000804E8" w:rsidTr="00207DF0">
        <w:trPr>
          <w:trHeight w:val="1625"/>
        </w:trPr>
        <w:tc>
          <w:tcPr>
            <w:tcW w:w="10274" w:type="dxa"/>
          </w:tcPr>
          <w:p w:rsidR="000804E8" w:rsidRDefault="000804E8" w:rsidP="00207DF0">
            <w:pPr>
              <w:rPr>
                <w:b/>
                <w:sz w:val="36"/>
              </w:rPr>
            </w:pPr>
            <w:r>
              <w:rPr>
                <w:b/>
                <w:sz w:val="36"/>
              </w:rPr>
              <w:t>1</w:t>
            </w:r>
            <w:r w:rsidRPr="003A51D5">
              <w:rPr>
                <w:b/>
                <w:sz w:val="36"/>
              </w:rPr>
              <w:t>.</w:t>
            </w:r>
          </w:p>
          <w:p w:rsidR="000804E8" w:rsidRPr="003A51D5" w:rsidRDefault="000804E8" w:rsidP="00207DF0">
            <w:pPr>
              <w:rPr>
                <w:b/>
              </w:rPr>
            </w:pPr>
          </w:p>
        </w:tc>
      </w:tr>
      <w:tr w:rsidR="000804E8" w:rsidTr="00207DF0">
        <w:trPr>
          <w:trHeight w:val="1593"/>
        </w:trPr>
        <w:tc>
          <w:tcPr>
            <w:tcW w:w="10274" w:type="dxa"/>
          </w:tcPr>
          <w:p w:rsidR="000804E8" w:rsidRDefault="000804E8" w:rsidP="00207DF0">
            <w:pPr>
              <w:rPr>
                <w:b/>
                <w:sz w:val="36"/>
              </w:rPr>
            </w:pPr>
            <w:r>
              <w:rPr>
                <w:b/>
                <w:sz w:val="36"/>
              </w:rPr>
              <w:t>2</w:t>
            </w:r>
            <w:r w:rsidRPr="003A51D5">
              <w:rPr>
                <w:b/>
                <w:sz w:val="36"/>
              </w:rPr>
              <w:t>.</w:t>
            </w:r>
          </w:p>
          <w:p w:rsidR="000804E8" w:rsidRPr="003A51D5" w:rsidRDefault="000804E8" w:rsidP="00207DF0">
            <w:pPr>
              <w:rPr>
                <w:b/>
              </w:rPr>
            </w:pPr>
          </w:p>
        </w:tc>
      </w:tr>
      <w:tr w:rsidR="000804E8" w:rsidTr="00207DF0">
        <w:trPr>
          <w:trHeight w:val="1740"/>
        </w:trPr>
        <w:tc>
          <w:tcPr>
            <w:tcW w:w="10274" w:type="dxa"/>
          </w:tcPr>
          <w:p w:rsidR="000804E8" w:rsidRDefault="000804E8" w:rsidP="00207DF0">
            <w:pPr>
              <w:rPr>
                <w:b/>
                <w:sz w:val="36"/>
              </w:rPr>
            </w:pPr>
            <w:r>
              <w:rPr>
                <w:b/>
                <w:sz w:val="36"/>
              </w:rPr>
              <w:t>3</w:t>
            </w:r>
            <w:r w:rsidRPr="003A51D5">
              <w:rPr>
                <w:b/>
                <w:sz w:val="36"/>
              </w:rPr>
              <w:t>.</w:t>
            </w:r>
          </w:p>
          <w:p w:rsidR="000804E8" w:rsidRPr="003A51D5" w:rsidRDefault="000804E8" w:rsidP="00207DF0">
            <w:pPr>
              <w:rPr>
                <w:b/>
              </w:rPr>
            </w:pPr>
          </w:p>
        </w:tc>
      </w:tr>
      <w:tr w:rsidR="000804E8" w:rsidTr="00207DF0">
        <w:trPr>
          <w:trHeight w:val="1738"/>
        </w:trPr>
        <w:tc>
          <w:tcPr>
            <w:tcW w:w="10274" w:type="dxa"/>
          </w:tcPr>
          <w:p w:rsidR="000804E8" w:rsidRPr="003A51D5" w:rsidRDefault="000804E8" w:rsidP="00207DF0">
            <w:pPr>
              <w:rPr>
                <w:b/>
              </w:rPr>
            </w:pPr>
            <w:r>
              <w:rPr>
                <w:b/>
                <w:sz w:val="36"/>
              </w:rPr>
              <w:t>4</w:t>
            </w:r>
            <w:r w:rsidRPr="003A51D5">
              <w:rPr>
                <w:b/>
                <w:sz w:val="36"/>
              </w:rPr>
              <w:t>.</w:t>
            </w:r>
          </w:p>
        </w:tc>
      </w:tr>
      <w:tr w:rsidR="000804E8" w:rsidTr="00207DF0">
        <w:trPr>
          <w:trHeight w:val="922"/>
        </w:trPr>
        <w:tc>
          <w:tcPr>
            <w:tcW w:w="10274" w:type="dxa"/>
          </w:tcPr>
          <w:p w:rsidR="000804E8" w:rsidRPr="00732705" w:rsidRDefault="000804E8" w:rsidP="00207DF0">
            <w:pPr>
              <w:rPr>
                <w:b/>
                <w:sz w:val="24"/>
                <w:szCs w:val="24"/>
                <w:lang w:val="en-US"/>
              </w:rPr>
            </w:pPr>
            <w:r>
              <w:rPr>
                <w:b/>
                <w:sz w:val="24"/>
                <w:szCs w:val="24"/>
                <w:lang w:val="en-US"/>
              </w:rPr>
              <w:t>How will</w:t>
            </w:r>
            <w:r w:rsidRPr="00732705">
              <w:rPr>
                <w:b/>
                <w:sz w:val="24"/>
                <w:szCs w:val="24"/>
                <w:lang w:val="en-US"/>
              </w:rPr>
              <w:t xml:space="preserve"> you improve your work?</w:t>
            </w:r>
          </w:p>
          <w:p w:rsidR="000804E8" w:rsidRPr="003A51D5" w:rsidRDefault="000804E8" w:rsidP="00207DF0">
            <w:pPr>
              <w:rPr>
                <w:b/>
                <w:sz w:val="36"/>
              </w:rPr>
            </w:pPr>
          </w:p>
        </w:tc>
      </w:tr>
    </w:tbl>
    <w:p w:rsidR="000804E8" w:rsidRDefault="000804E8">
      <w:bookmarkStart w:id="0" w:name="_GoBack"/>
      <w:bookmarkEnd w:id="0"/>
    </w:p>
    <w:sectPr w:rsidR="000804E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4E8" w:rsidRDefault="000804E8" w:rsidP="000804E8">
      <w:pPr>
        <w:spacing w:after="0" w:line="240" w:lineRule="auto"/>
      </w:pPr>
      <w:r>
        <w:separator/>
      </w:r>
    </w:p>
  </w:endnote>
  <w:endnote w:type="continuationSeparator" w:id="0">
    <w:p w:rsidR="000804E8" w:rsidRDefault="000804E8" w:rsidP="00080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yriadPro-Regular">
    <w:altName w:val="Arial"/>
    <w:panose1 w:val="00000000000000000000"/>
    <w:charset w:val="00"/>
    <w:family w:val="swiss"/>
    <w:notTrueType/>
    <w:pitch w:val="default"/>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4E8" w:rsidRDefault="000804E8" w:rsidP="000804E8">
      <w:pPr>
        <w:spacing w:after="0" w:line="240" w:lineRule="auto"/>
      </w:pPr>
      <w:r>
        <w:separator/>
      </w:r>
    </w:p>
  </w:footnote>
  <w:footnote w:type="continuationSeparator" w:id="0">
    <w:p w:rsidR="000804E8" w:rsidRDefault="000804E8" w:rsidP="00080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4E8" w:rsidRPr="00984E57" w:rsidRDefault="000804E8" w:rsidP="000804E8">
    <w:pPr>
      <w:pStyle w:val="Header"/>
      <w:jc w:val="center"/>
      <w:rPr>
        <w:noProof/>
        <w:lang w:eastAsia="en-GB"/>
      </w:rPr>
    </w:pPr>
    <w:r>
      <w:rPr>
        <w:noProof/>
        <w:lang w:eastAsia="en-GB"/>
      </w:rPr>
      <w:drawing>
        <wp:inline distT="0" distB="0" distL="0" distR="0" wp14:anchorId="3448F500" wp14:editId="6DEBDF42">
          <wp:extent cx="962025" cy="476250"/>
          <wp:effectExtent l="19050" t="0" r="9525" b="0"/>
          <wp:docPr id="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1"/>
                  <a:srcRect/>
                  <a:stretch>
                    <a:fillRect/>
                  </a:stretch>
                </pic:blipFill>
                <pic:spPr bwMode="auto">
                  <a:xfrm>
                    <a:off x="0" y="0"/>
                    <a:ext cx="962025" cy="476250"/>
                  </a:xfrm>
                  <a:prstGeom prst="rect">
                    <a:avLst/>
                  </a:prstGeom>
                  <a:noFill/>
                  <a:ln w="9525">
                    <a:noFill/>
                    <a:miter lim="800000"/>
                    <a:headEnd/>
                    <a:tailEnd/>
                  </a:ln>
                </pic:spPr>
              </pic:pic>
            </a:graphicData>
          </a:graphic>
        </wp:inline>
      </w:drawing>
    </w:r>
  </w:p>
  <w:p w:rsidR="000804E8" w:rsidRPr="00C55C59" w:rsidRDefault="000804E8" w:rsidP="000804E8">
    <w:pPr>
      <w:tabs>
        <w:tab w:val="center" w:pos="4513"/>
        <w:tab w:val="right" w:pos="9026"/>
      </w:tabs>
      <w:jc w:val="center"/>
      <w:rPr>
        <w:rFonts w:ascii="Arial" w:hAnsi="Arial" w:cs="Arial"/>
        <w:sz w:val="20"/>
        <w:szCs w:val="20"/>
      </w:rPr>
    </w:pPr>
    <w:r w:rsidRPr="00C55C59">
      <w:rPr>
        <w:rFonts w:ascii="Arial" w:hAnsi="Arial" w:cs="Arial"/>
        <w:sz w:val="20"/>
        <w:szCs w:val="20"/>
      </w:rPr>
      <w:t>Professionalism. Inclusion. Pedagogy. Curriculum.</w:t>
    </w:r>
  </w:p>
  <w:p w:rsidR="000804E8" w:rsidRPr="000804E8" w:rsidRDefault="000804E8" w:rsidP="000804E8">
    <w:pPr>
      <w:tabs>
        <w:tab w:val="center" w:pos="4513"/>
        <w:tab w:val="right" w:pos="9026"/>
      </w:tabs>
      <w:jc w:val="center"/>
      <w:rPr>
        <w:rFonts w:ascii="Arial" w:hAnsi="Arial" w:cs="Arial"/>
        <w:sz w:val="20"/>
        <w:szCs w:val="20"/>
      </w:rPr>
    </w:pPr>
    <w:r w:rsidRPr="00C55C59">
      <w:rPr>
        <w:rFonts w:ascii="Arial" w:hAnsi="Arial" w:cs="Arial"/>
        <w:sz w:val="20"/>
        <w:szCs w:val="20"/>
      </w:rPr>
      <w:t>Be professional. Be inclusive. Be a learner. Be knowledgeable</w:t>
    </w:r>
    <w:r>
      <w:rPr>
        <w:rFonts w:ascii="Arial" w:hAnsi="Arial" w:cs="Arial"/>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C5313E"/>
    <w:multiLevelType w:val="hybridMultilevel"/>
    <w:tmpl w:val="24A8C250"/>
    <w:lvl w:ilvl="0" w:tplc="C69CF2C6">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E8"/>
    <w:rsid w:val="000804E8"/>
    <w:rsid w:val="005F2C2C"/>
    <w:rsid w:val="00A63E79"/>
    <w:rsid w:val="00F90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C82F8B"/>
  <w15:chartTrackingRefBased/>
  <w15:docId w15:val="{EB6AFD48-A25F-44F2-99FC-BE252782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4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4E8"/>
  </w:style>
  <w:style w:type="paragraph" w:styleId="Footer">
    <w:name w:val="footer"/>
    <w:basedOn w:val="Normal"/>
    <w:link w:val="FooterChar"/>
    <w:uiPriority w:val="99"/>
    <w:unhideWhenUsed/>
    <w:rsid w:val="000804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4E8"/>
  </w:style>
  <w:style w:type="table" w:styleId="TableGrid">
    <w:name w:val="Table Grid"/>
    <w:basedOn w:val="TableNormal"/>
    <w:uiPriority w:val="59"/>
    <w:rsid w:val="000804E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logyguide.org/Slide_Box/Slide_Bo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iologyreference.com/" TargetMode="External"/><Relationship Id="rId4" Type="http://schemas.openxmlformats.org/officeDocument/2006/relationships/webSettings" Target="webSettings.xml"/><Relationship Id="rId9" Type="http://schemas.openxmlformats.org/officeDocument/2006/relationships/hyperlink" Target="http://www.saps.org.uk/secondary/teaching-resources/871-medicines-and-drugs-from-plants-trumps-card-ga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Ozcan</dc:creator>
  <cp:keywords/>
  <dc:description/>
  <cp:lastModifiedBy>Yasemin Ozcan</cp:lastModifiedBy>
  <cp:revision>1</cp:revision>
  <dcterms:created xsi:type="dcterms:W3CDTF">2023-02-27T11:12:00Z</dcterms:created>
  <dcterms:modified xsi:type="dcterms:W3CDTF">2023-02-27T11:16:00Z</dcterms:modified>
</cp:coreProperties>
</file>