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677917"/>
                <wp:effectExtent l="0" t="0" r="20955" b="2730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67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C9A" w:rsidRPr="005329D9" w:rsidRDefault="00322C9A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bookmarkStart w:id="0" w:name="_GoBack"/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329D9">
                              <w:rPr>
                                <w:sz w:val="44"/>
                                <w:szCs w:val="28"/>
                              </w:rPr>
                              <w:t xml:space="preserve">Biodiversity </w:t>
                            </w:r>
                          </w:p>
                          <w:p w:rsidR="00322C9A" w:rsidRPr="00FC23D4" w:rsidRDefault="00322C9A" w:rsidP="00757409">
                            <w:pPr>
                              <w:pStyle w:val="NoSpacing"/>
                              <w:rPr>
                                <w:sz w:val="40"/>
                                <w:szCs w:val="28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ENQUIRY: </w:t>
                            </w:r>
                            <w:r w:rsidRPr="00FC23D4">
                              <w:rPr>
                                <w:rFonts w:ascii="Arial" w:hAnsi="Arial" w:cs="Arial"/>
                                <w:color w:val="202124"/>
                                <w:sz w:val="32"/>
                                <w:shd w:val="clear" w:color="auto" w:fill="FFFFFF"/>
                              </w:rPr>
                              <w:t>How many species are there on the planet?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53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">
                <v:textbox>
                  <w:txbxContent>
                    <w:p w:rsidR="00322C9A" w:rsidRPr="005329D9" w:rsidRDefault="00322C9A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bookmarkStart w:id="1" w:name="_GoBack"/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5329D9">
                        <w:rPr>
                          <w:sz w:val="44"/>
                          <w:szCs w:val="28"/>
                        </w:rPr>
                        <w:t xml:space="preserve">Biodiversity </w:t>
                      </w:r>
                    </w:p>
                    <w:p w:rsidR="00322C9A" w:rsidRPr="00FC23D4" w:rsidRDefault="00322C9A" w:rsidP="00757409">
                      <w:pPr>
                        <w:pStyle w:val="NoSpacing"/>
                        <w:rPr>
                          <w:sz w:val="40"/>
                          <w:szCs w:val="28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 xml:space="preserve">ENQUIRY: </w:t>
                      </w:r>
                      <w:r w:rsidRPr="00FC23D4">
                        <w:rPr>
                          <w:rFonts w:ascii="Arial" w:hAnsi="Arial" w:cs="Arial"/>
                          <w:color w:val="202124"/>
                          <w:sz w:val="32"/>
                          <w:shd w:val="clear" w:color="auto" w:fill="FFFFFF"/>
                        </w:rPr>
                        <w:t>How many species are there on the planet?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02"/>
        <w:gridCol w:w="3361"/>
        <w:gridCol w:w="1221"/>
        <w:gridCol w:w="1136"/>
      </w:tblGrid>
      <w:tr w:rsidR="00906340" w:rsidTr="00C539FE">
        <w:tc>
          <w:tcPr>
            <w:tcW w:w="10420" w:type="dxa"/>
            <w:gridSpan w:val="4"/>
          </w:tcPr>
          <w:p w:rsidR="005C1C3C" w:rsidRPr="008E4713" w:rsidRDefault="00906340" w:rsidP="00C539FE">
            <w:pPr>
              <w:pStyle w:val="NoSpacing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C32526" w:rsidRPr="008E471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C539FE" w:rsidRPr="00FC23D4" w:rsidRDefault="00FC23D4" w:rsidP="00C539FE">
            <w:pPr>
              <w:pStyle w:val="NoSpacing"/>
              <w:rPr>
                <w:sz w:val="20"/>
              </w:rPr>
            </w:pPr>
            <w:r w:rsidRPr="00FC23D4">
              <w:rPr>
                <w:sz w:val="20"/>
              </w:rPr>
              <w:t xml:space="preserve">In KS4 you would have learnt the unit Inheritance, variation and evolution, </w:t>
            </w:r>
            <w:proofErr w:type="gramStart"/>
            <w:r w:rsidRPr="00FC23D4">
              <w:rPr>
                <w:sz w:val="20"/>
              </w:rPr>
              <w:t>Now</w:t>
            </w:r>
            <w:proofErr w:type="gramEnd"/>
            <w:r w:rsidRPr="00FC23D4">
              <w:rPr>
                <w:sz w:val="20"/>
              </w:rPr>
              <w:t xml:space="preserve"> you will be looking at the importance of maintaining and measuring biodiversity and in Year 13 this will correlate to the topic Populations and sustainability. </w:t>
            </w:r>
          </w:p>
          <w:p w:rsidR="00C539FE" w:rsidRPr="008E4713" w:rsidRDefault="00C539FE" w:rsidP="00C539FE">
            <w:pPr>
              <w:pStyle w:val="NoSpacing"/>
              <w:rPr>
                <w:sz w:val="20"/>
              </w:rPr>
            </w:pPr>
          </w:p>
        </w:tc>
      </w:tr>
      <w:tr w:rsidR="002327F7" w:rsidTr="00C539FE">
        <w:trPr>
          <w:trHeight w:val="592"/>
        </w:trPr>
        <w:tc>
          <w:tcPr>
            <w:tcW w:w="8063" w:type="dxa"/>
            <w:gridSpan w:val="2"/>
          </w:tcPr>
          <w:p w:rsidR="002327F7" w:rsidRPr="008E4713" w:rsidRDefault="00906340" w:rsidP="00874D31">
            <w:pPr>
              <w:pStyle w:val="NoSpacing"/>
              <w:rPr>
                <w:rFonts w:ascii="Arial" w:hAnsi="Arial" w:cs="Arial"/>
                <w:b/>
                <w:sz w:val="20"/>
                <w:szCs w:val="24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Success criteria</w:t>
            </w:r>
            <w:r w:rsidR="008E4713" w:rsidRPr="008E4713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2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136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C539FE">
        <w:trPr>
          <w:trHeight w:val="2929"/>
        </w:trPr>
        <w:tc>
          <w:tcPr>
            <w:tcW w:w="8063" w:type="dxa"/>
            <w:gridSpan w:val="2"/>
          </w:tcPr>
          <w:p w:rsidR="00F525D2" w:rsidRPr="008E4713" w:rsidRDefault="008E4713" w:rsidP="008E4713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E4713">
              <w:rPr>
                <w:sz w:val="24"/>
              </w:rPr>
              <w:t xml:space="preserve">how biodiversity may be considered at different levels </w:t>
            </w:r>
          </w:p>
          <w:p w:rsidR="008E4713" w:rsidRPr="008E4713" w:rsidRDefault="008E4713" w:rsidP="008E4713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E4713">
              <w:rPr>
                <w:sz w:val="24"/>
              </w:rPr>
              <w:t>the use and interpretation of Simpson’s Index of Diversity (</w:t>
            </w:r>
            <w:r w:rsidRPr="008E4713">
              <w:rPr>
                <w:i/>
                <w:iCs/>
                <w:sz w:val="24"/>
              </w:rPr>
              <w:t>D</w:t>
            </w:r>
            <w:r w:rsidRPr="008E4713">
              <w:rPr>
                <w:sz w:val="24"/>
              </w:rPr>
              <w:t>) to calculate the biodiversity of a habitat</w:t>
            </w:r>
          </w:p>
          <w:p w:rsidR="008E4713" w:rsidRPr="008E4713" w:rsidRDefault="008E4713" w:rsidP="008E4713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E4713">
              <w:rPr>
                <w:sz w:val="24"/>
              </w:rPr>
              <w:t xml:space="preserve">the ecological, economic and aesthetic reasons for maintaining biodiversity </w:t>
            </w:r>
          </w:p>
          <w:p w:rsidR="008E4713" w:rsidRPr="008E4713" w:rsidRDefault="008E4713" w:rsidP="008E4713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E4713">
              <w:rPr>
                <w:i/>
                <w:iCs/>
                <w:sz w:val="24"/>
              </w:rPr>
              <w:t xml:space="preserve">in situ </w:t>
            </w:r>
            <w:r w:rsidRPr="008E4713">
              <w:rPr>
                <w:sz w:val="24"/>
              </w:rPr>
              <w:t xml:space="preserve">and </w:t>
            </w:r>
            <w:r w:rsidRPr="008E4713">
              <w:rPr>
                <w:i/>
                <w:iCs/>
                <w:sz w:val="24"/>
              </w:rPr>
              <w:t xml:space="preserve">ex situ </w:t>
            </w:r>
            <w:r w:rsidRPr="008E4713">
              <w:rPr>
                <w:sz w:val="24"/>
              </w:rPr>
              <w:t xml:space="preserve">methods of maintaining biodiversity </w:t>
            </w:r>
          </w:p>
          <w:p w:rsidR="008E4713" w:rsidRPr="00FC23D4" w:rsidRDefault="008E4713" w:rsidP="008E4713">
            <w:pPr>
              <w:pStyle w:val="NoSpacing"/>
              <w:numPr>
                <w:ilvl w:val="0"/>
                <w:numId w:val="11"/>
              </w:numPr>
              <w:rPr>
                <w:lang w:eastAsia="en-GB"/>
              </w:rPr>
            </w:pPr>
            <w:r w:rsidRPr="008E4713">
              <w:rPr>
                <w:sz w:val="24"/>
              </w:rPr>
              <w:t xml:space="preserve">international and local conservation agreements made to protect species and habitats. </w:t>
            </w:r>
          </w:p>
          <w:p w:rsidR="00FC23D4" w:rsidRPr="00FC23D4" w:rsidRDefault="00FC23D4" w:rsidP="00FC23D4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E4713">
              <w:rPr>
                <w:sz w:val="24"/>
              </w:rPr>
              <w:t>practical investigations collecting random and non-random samples in the field</w:t>
            </w:r>
          </w:p>
        </w:tc>
        <w:tc>
          <w:tcPr>
            <w:tcW w:w="1221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1136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4"/>
          </w:tcPr>
          <w:p w:rsidR="00906340" w:rsidRPr="00FC23D4" w:rsidRDefault="00906340" w:rsidP="00874D31">
            <w:pPr>
              <w:pStyle w:val="NoSpacing"/>
              <w:rPr>
                <w:rFonts w:ascii="Arial" w:hAnsi="Arial" w:cs="Arial"/>
                <w:b/>
                <w:sz w:val="20"/>
                <w:szCs w:val="24"/>
              </w:rPr>
            </w:pPr>
            <w:r w:rsidRPr="00FC23D4">
              <w:rPr>
                <w:rFonts w:ascii="Arial" w:hAnsi="Arial" w:cs="Arial"/>
                <w:b/>
                <w:sz w:val="20"/>
                <w:szCs w:val="24"/>
              </w:rPr>
              <w:t>Unit summative and formative assessment details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C539FE" w:rsidRDefault="00C539FE" w:rsidP="00C539F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Seneca</w:t>
            </w:r>
            <w:r>
              <w:t xml:space="preserve">, factual re-call </w:t>
            </w:r>
          </w:p>
          <w:p w:rsidR="00C539FE" w:rsidRDefault="00C539FE" w:rsidP="00C539F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Extended writing </w:t>
            </w:r>
          </w:p>
          <w:p w:rsidR="001377DF" w:rsidRPr="00044381" w:rsidRDefault="00C539FE" w:rsidP="00C539FE">
            <w:pPr>
              <w:pStyle w:val="NoSpacing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4"/>
          </w:tcPr>
          <w:p w:rsidR="00906340" w:rsidRPr="00FC23D4" w:rsidRDefault="00906340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C539FE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Default="00C539FE" w:rsidP="00C539FE">
            <w:pPr>
              <w:pStyle w:val="NoSpacing"/>
            </w:pPr>
            <w:r>
              <w:t>Homework once a week (flip learning and Seneca)</w:t>
            </w:r>
          </w:p>
          <w:p w:rsidR="00C539FE" w:rsidRDefault="00C539FE" w:rsidP="00C539FE">
            <w:pPr>
              <w:pStyle w:val="NoSpacing"/>
            </w:pPr>
            <w:r>
              <w:t>Revisit class content (make notes)</w:t>
            </w:r>
          </w:p>
          <w:p w:rsidR="001377DF" w:rsidRPr="00044381" w:rsidRDefault="00C539FE" w:rsidP="00C539FE">
            <w:pPr>
              <w:pStyle w:val="NoSpacing"/>
              <w:rPr>
                <w:sz w:val="14"/>
              </w:rPr>
            </w:pPr>
            <w: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</w:tc>
      </w:tr>
      <w:tr w:rsidR="00C539FE" w:rsidTr="00C539FE">
        <w:trPr>
          <w:trHeight w:val="3873"/>
        </w:trPr>
        <w:tc>
          <w:tcPr>
            <w:tcW w:w="4702" w:type="dxa"/>
          </w:tcPr>
          <w:p w:rsidR="00C539FE" w:rsidRDefault="00C539FE" w:rsidP="00C539FE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:rsidR="00C539FE" w:rsidRPr="00365EC1" w:rsidRDefault="00C539FE" w:rsidP="00C539FE">
            <w:pPr>
              <w:spacing w:after="0" w:line="240" w:lineRule="auto"/>
              <w:rPr>
                <w:color w:val="000000"/>
                <w:sz w:val="28"/>
                <w:lang w:eastAsia="en-GB"/>
              </w:rPr>
            </w:pPr>
          </w:p>
          <w:p w:rsidR="00C539FE" w:rsidRPr="00365EC1" w:rsidRDefault="00C539FE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 w:rsidRPr="00365EC1">
              <w:rPr>
                <w:color w:val="000000"/>
                <w:sz w:val="28"/>
              </w:rPr>
              <w:t xml:space="preserve">Biodiversity </w:t>
            </w:r>
          </w:p>
          <w:p w:rsidR="00C539FE" w:rsidRPr="00365EC1" w:rsidRDefault="00C539FE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 w:rsidRPr="00365EC1">
              <w:rPr>
                <w:color w:val="000000"/>
                <w:sz w:val="28"/>
              </w:rPr>
              <w:t xml:space="preserve">Importance of Biodiversity </w:t>
            </w:r>
          </w:p>
          <w:p w:rsidR="00C539FE" w:rsidRPr="00365EC1" w:rsidRDefault="00C539FE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 w:rsidRPr="00365EC1">
              <w:rPr>
                <w:color w:val="000000"/>
                <w:sz w:val="28"/>
              </w:rPr>
              <w:t xml:space="preserve">Conservation and Biodiversity </w:t>
            </w:r>
          </w:p>
          <w:p w:rsidR="00C539FE" w:rsidRPr="00ED72F2" w:rsidRDefault="00C539FE" w:rsidP="00C539FE">
            <w:pPr>
              <w:pStyle w:val="NoSpacing"/>
              <w:numPr>
                <w:ilvl w:val="0"/>
                <w:numId w:val="7"/>
              </w:numPr>
              <w:rPr>
                <w:highlight w:val="yellow"/>
              </w:rPr>
            </w:pPr>
            <w:r w:rsidRPr="00365EC1">
              <w:rPr>
                <w:color w:val="000000"/>
                <w:sz w:val="28"/>
              </w:rPr>
              <w:t>Practical on measuring biodiversity</w:t>
            </w:r>
          </w:p>
        </w:tc>
        <w:tc>
          <w:tcPr>
            <w:tcW w:w="5718" w:type="dxa"/>
            <w:gridSpan w:val="3"/>
          </w:tcPr>
          <w:p w:rsidR="00C539FE" w:rsidRDefault="00C539FE" w:rsidP="00C539FE">
            <w:pPr>
              <w:pStyle w:val="NoSpacing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</w:rPr>
              <w:t xml:space="preserve">Recommended reading: </w:t>
            </w:r>
          </w:p>
          <w:p w:rsidR="00C539FE" w:rsidRDefault="00C539FE" w:rsidP="00C539FE">
            <w:pPr>
              <w:pStyle w:val="NoSpacing"/>
              <w:rPr>
                <w:rFonts w:ascii="Verdana" w:hAnsi="Verdana" w:cs="MyriadPro-Regular"/>
              </w:rPr>
            </w:pPr>
          </w:p>
          <w:p w:rsidR="00C539FE" w:rsidRDefault="00C539FE" w:rsidP="00C539FE">
            <w:pPr>
              <w:pStyle w:val="NoSpacing"/>
              <w:rPr>
                <w:rFonts w:ascii="Georgia" w:hAnsi="Georgia"/>
                <w:color w:val="333333"/>
                <w:shd w:val="clear" w:color="auto" w:fill="FCFCFC"/>
              </w:rPr>
            </w:pPr>
            <w:r>
              <w:rPr>
                <w:rFonts w:ascii="Georgia" w:hAnsi="Georgia"/>
                <w:color w:val="333333"/>
                <w:shd w:val="clear" w:color="auto" w:fill="FCFCFC"/>
              </w:rPr>
              <w:t>Transport systems in multicellular organisms</w:t>
            </w:r>
          </w:p>
          <w:p w:rsidR="00C539FE" w:rsidRDefault="00C539FE" w:rsidP="00C539FE">
            <w:pPr>
              <w:pStyle w:val="NoSpacing"/>
              <w:rPr>
                <w:rFonts w:cs="Calibri"/>
                <w:color w:val="212121"/>
              </w:rPr>
            </w:pPr>
            <w:hyperlink r:id="rId7" w:history="1">
              <w:r>
                <w:rPr>
                  <w:rStyle w:val="Hyperlink"/>
                  <w:rFonts w:cs="Calibri"/>
                </w:rPr>
                <w:t>https://rd.springer.com/chapter/10.1007/978-1-349-00021-0_4</w:t>
              </w:r>
            </w:hyperlink>
          </w:p>
          <w:p w:rsidR="00C539FE" w:rsidRDefault="00C539FE" w:rsidP="00C539FE">
            <w:pPr>
              <w:pStyle w:val="NoSpacing"/>
              <w:rPr>
                <w:rFonts w:ascii="Verdana" w:hAnsi="Verdana" w:cs="MyriadPro-Regular"/>
              </w:rPr>
            </w:pPr>
            <w:r>
              <w:t>https://alevelnotes.com/notes/biology/exchange-and-transport/transport-in-animals/the-mammalian-heart</w:t>
            </w:r>
          </w:p>
          <w:p w:rsidR="00C539FE" w:rsidRDefault="00C539FE" w:rsidP="00C539FE">
            <w:pPr>
              <w:pStyle w:val="NoSpacing"/>
              <w:rPr>
                <w:rFonts w:ascii="Verdana" w:hAnsi="Verdana" w:cs="MyriadPro-Regular"/>
              </w:rPr>
            </w:pPr>
          </w:p>
          <w:p w:rsidR="00C539FE" w:rsidRPr="00C10A2A" w:rsidRDefault="00C539FE" w:rsidP="00C10A2A">
            <w:pPr>
              <w:tabs>
                <w:tab w:val="left" w:pos="3790"/>
              </w:tabs>
              <w:rPr>
                <w:sz w:val="24"/>
              </w:rPr>
            </w:pPr>
            <w:proofErr w:type="gramStart"/>
            <w:r>
              <w:rPr>
                <w:rFonts w:ascii="Verdana" w:hAnsi="Verdana" w:cs="MyriadPro-Regular"/>
              </w:rPr>
              <w:t xml:space="preserve">HPA </w:t>
            </w:r>
            <w:r w:rsidR="008E4713">
              <w:rPr>
                <w:rFonts w:ascii="Verdana" w:hAnsi="Verdana" w:cs="MyriadPro-Regular"/>
              </w:rPr>
              <w:t xml:space="preserve"> </w:t>
            </w:r>
            <w:r w:rsidR="008E4713" w:rsidRPr="00143E01">
              <w:rPr>
                <w:sz w:val="24"/>
              </w:rPr>
              <w:t>Recommended</w:t>
            </w:r>
            <w:proofErr w:type="gramEnd"/>
            <w:r w:rsidR="008E4713">
              <w:rPr>
                <w:sz w:val="24"/>
              </w:rPr>
              <w:t xml:space="preserve"> biological </w:t>
            </w:r>
            <w:r w:rsidR="008E4713" w:rsidRPr="00143E01">
              <w:rPr>
                <w:sz w:val="24"/>
              </w:rPr>
              <w:t xml:space="preserve">dictionary: </w:t>
            </w:r>
            <w:hyperlink r:id="rId8" w:history="1">
              <w:r w:rsidR="008E4713" w:rsidRPr="00143E01">
                <w:rPr>
                  <w:rStyle w:val="Hyperlink"/>
                  <w:sz w:val="24"/>
                </w:rPr>
                <w:t>http://www.biologyreference.com/</w:t>
              </w:r>
            </w:hyperlink>
          </w:p>
          <w:p w:rsidR="00C539FE" w:rsidRDefault="00C539FE" w:rsidP="00C539F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4"/>
                <w:highlight w:val="yellow"/>
              </w:rPr>
              <w:t>Places to visit:</w:t>
            </w:r>
          </w:p>
          <w:p w:rsidR="00C539FE" w:rsidRDefault="00C539FE" w:rsidP="00C539FE">
            <w:pPr>
              <w:pStyle w:val="NoSpacing"/>
            </w:pPr>
            <w:r>
              <w:t>Natural History Museum</w:t>
            </w:r>
          </w:p>
          <w:p w:rsidR="00C539FE" w:rsidRDefault="00C539FE" w:rsidP="00C539FE">
            <w:pPr>
              <w:pStyle w:val="NoSpacing"/>
            </w:pPr>
            <w:r>
              <w:t xml:space="preserve">Horniman </w:t>
            </w:r>
            <w:proofErr w:type="spellStart"/>
            <w:r>
              <w:t>Musuem</w:t>
            </w:r>
            <w:proofErr w:type="spellEnd"/>
          </w:p>
          <w:p w:rsidR="00C539FE" w:rsidRDefault="00C539FE" w:rsidP="00C539FE">
            <w:pPr>
              <w:pStyle w:val="NoSpacing"/>
            </w:pPr>
            <w:r>
              <w:t>Centre of the cell</w:t>
            </w: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C9A" w:rsidRPr="009C6AC5" w:rsidRDefault="00322C9A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322C9A" w:rsidRPr="009C6AC5" w:rsidRDefault="00322C9A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9A" w:rsidRDefault="00322C9A" w:rsidP="00984E57">
      <w:pPr>
        <w:spacing w:after="0" w:line="240" w:lineRule="auto"/>
      </w:pPr>
      <w:r>
        <w:separator/>
      </w:r>
    </w:p>
  </w:endnote>
  <w:endnote w:type="continuationSeparator" w:id="0">
    <w:p w:rsidR="00322C9A" w:rsidRDefault="00322C9A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9A" w:rsidRDefault="00322C9A" w:rsidP="00984E57">
      <w:pPr>
        <w:spacing w:after="0" w:line="240" w:lineRule="auto"/>
      </w:pPr>
      <w:r>
        <w:separator/>
      </w:r>
    </w:p>
  </w:footnote>
  <w:footnote w:type="continuationSeparator" w:id="0">
    <w:p w:rsidR="00322C9A" w:rsidRDefault="00322C9A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9A" w:rsidRPr="00984E57" w:rsidRDefault="00322C9A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2C9A" w:rsidRPr="00C55C59" w:rsidRDefault="00322C9A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322C9A" w:rsidRPr="00426053" w:rsidRDefault="00322C9A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0E1B"/>
    <w:multiLevelType w:val="hybridMultilevel"/>
    <w:tmpl w:val="A9D00EAE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4381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16BCA"/>
    <w:rsid w:val="00220BCB"/>
    <w:rsid w:val="002327F7"/>
    <w:rsid w:val="002640D6"/>
    <w:rsid w:val="002C7104"/>
    <w:rsid w:val="002D7BC3"/>
    <w:rsid w:val="002E3248"/>
    <w:rsid w:val="003178D0"/>
    <w:rsid w:val="00322C9A"/>
    <w:rsid w:val="0036351C"/>
    <w:rsid w:val="003754E1"/>
    <w:rsid w:val="003A51D5"/>
    <w:rsid w:val="00426053"/>
    <w:rsid w:val="004B46EC"/>
    <w:rsid w:val="004C70D9"/>
    <w:rsid w:val="004D44FC"/>
    <w:rsid w:val="00507B9D"/>
    <w:rsid w:val="005329D9"/>
    <w:rsid w:val="00584622"/>
    <w:rsid w:val="005C1C3C"/>
    <w:rsid w:val="005E0FA7"/>
    <w:rsid w:val="005F3B55"/>
    <w:rsid w:val="00645B8A"/>
    <w:rsid w:val="00691E69"/>
    <w:rsid w:val="00732705"/>
    <w:rsid w:val="0075595E"/>
    <w:rsid w:val="00757409"/>
    <w:rsid w:val="007802E4"/>
    <w:rsid w:val="007927E7"/>
    <w:rsid w:val="0083166E"/>
    <w:rsid w:val="0086384A"/>
    <w:rsid w:val="00874D31"/>
    <w:rsid w:val="008A7955"/>
    <w:rsid w:val="008C698E"/>
    <w:rsid w:val="008E4713"/>
    <w:rsid w:val="00906340"/>
    <w:rsid w:val="00984E57"/>
    <w:rsid w:val="00997B03"/>
    <w:rsid w:val="009A5102"/>
    <w:rsid w:val="009C6AC5"/>
    <w:rsid w:val="00A51903"/>
    <w:rsid w:val="00A52077"/>
    <w:rsid w:val="00AC2F7E"/>
    <w:rsid w:val="00AD2301"/>
    <w:rsid w:val="00AE31E0"/>
    <w:rsid w:val="00B74C77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D00313"/>
    <w:rsid w:val="00E34A66"/>
    <w:rsid w:val="00E378E5"/>
    <w:rsid w:val="00E655DA"/>
    <w:rsid w:val="00E8726C"/>
    <w:rsid w:val="00E9436B"/>
    <w:rsid w:val="00E94A54"/>
    <w:rsid w:val="00ED72F2"/>
    <w:rsid w:val="00F170FF"/>
    <w:rsid w:val="00F525D2"/>
    <w:rsid w:val="00F87411"/>
    <w:rsid w:val="00FA0037"/>
    <w:rsid w:val="00FC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B03447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referen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d.springer.com/chapter/10.1007/978-1-349-00021-0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Iqra Farooq</cp:lastModifiedBy>
  <cp:revision>6</cp:revision>
  <cp:lastPrinted>2022-04-20T08:34:00Z</cp:lastPrinted>
  <dcterms:created xsi:type="dcterms:W3CDTF">2022-04-20T08:23:00Z</dcterms:created>
  <dcterms:modified xsi:type="dcterms:W3CDTF">2022-04-20T08:35:00Z</dcterms:modified>
</cp:coreProperties>
</file>