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EA5" w:rsidRDefault="002E26B6">
      <w:r>
        <w:rPr>
          <w:noProof/>
        </w:rPr>
        <mc:AlternateContent>
          <mc:Choice Requires="wps">
            <w:drawing>
              <wp:anchor distT="0" distB="0" distL="114300" distR="114300" simplePos="0" relativeHeight="251658240" behindDoc="0" locked="0" layoutInCell="1" hidden="0" allowOverlap="1">
                <wp:simplePos x="0" y="0"/>
                <wp:positionH relativeFrom="column">
                  <wp:posOffset>38816</wp:posOffset>
                </wp:positionH>
                <wp:positionV relativeFrom="paragraph">
                  <wp:posOffset>-62487</wp:posOffset>
                </wp:positionV>
                <wp:extent cx="6665400" cy="564204"/>
                <wp:effectExtent l="0" t="0" r="21590" b="26670"/>
                <wp:wrapNone/>
                <wp:docPr id="4" name="Rectangle 4"/>
                <wp:cNvGraphicFramePr/>
                <a:graphic xmlns:a="http://schemas.openxmlformats.org/drawingml/2006/main">
                  <a:graphicData uri="http://schemas.microsoft.com/office/word/2010/wordprocessingShape">
                    <wps:wsp>
                      <wps:cNvSpPr/>
                      <wps:spPr>
                        <a:xfrm>
                          <a:off x="0" y="0"/>
                          <a:ext cx="6665400" cy="56420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A2EA5" w:rsidRDefault="002E26B6">
                            <w:pPr>
                              <w:spacing w:after="0" w:line="240" w:lineRule="auto"/>
                              <w:jc w:val="center"/>
                              <w:textDirection w:val="btLr"/>
                            </w:pPr>
                            <w:r>
                              <w:rPr>
                                <w:rFonts w:ascii="Arial" w:eastAsia="Arial" w:hAnsi="Arial" w:cs="Arial"/>
                                <w:b/>
                                <w:color w:val="000000"/>
                                <w:sz w:val="28"/>
                              </w:rPr>
                              <w:t>UNIT OVERVIEW:</w:t>
                            </w:r>
                            <w:r>
                              <w:rPr>
                                <w:rFonts w:ascii="Arial" w:eastAsia="Arial" w:hAnsi="Arial" w:cs="Arial"/>
                                <w:color w:val="000000"/>
                                <w:sz w:val="28"/>
                              </w:rPr>
                              <w:t xml:space="preserve"> </w:t>
                            </w:r>
                            <w:r w:rsidR="00A74671">
                              <w:rPr>
                                <w:rFonts w:ascii="Arial" w:eastAsia="Arial" w:hAnsi="Arial" w:cs="Arial"/>
                                <w:color w:val="000000"/>
                                <w:sz w:val="28"/>
                                <w:szCs w:val="28"/>
                              </w:rPr>
                              <w:t>Unit 12 – Promoting Positive Behaviour in H&amp;SC</w:t>
                            </w:r>
                          </w:p>
                          <w:p w:rsidR="006A2EA5" w:rsidRDefault="002E26B6">
                            <w:pPr>
                              <w:spacing w:after="0" w:line="240" w:lineRule="auto"/>
                              <w:jc w:val="center"/>
                              <w:textDirection w:val="btLr"/>
                            </w:pPr>
                            <w:r>
                              <w:rPr>
                                <w:rFonts w:ascii="Arial" w:eastAsia="Arial" w:hAnsi="Arial" w:cs="Arial"/>
                                <w:b/>
                                <w:color w:val="000000"/>
                                <w:sz w:val="28"/>
                              </w:rPr>
                              <w:t xml:space="preserve">ENQUIRY: </w:t>
                            </w:r>
                            <w:r w:rsidR="00347EA6">
                              <w:rPr>
                                <w:rFonts w:ascii="Arial" w:eastAsia="Arial" w:hAnsi="Arial" w:cs="Arial"/>
                                <w:b/>
                                <w:color w:val="000000"/>
                                <w:sz w:val="28"/>
                              </w:rPr>
                              <w:t>What are deemed reasonable behaviours in the workplace?</w:t>
                            </w:r>
                            <w:bookmarkStart w:id="0" w:name="_GoBack"/>
                            <w:bookmarkEnd w:id="0"/>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05pt;margin-top:-4.9pt;width:524.8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">
                <v:stroke startarrowwidth="narrow" startarrowlength="short" endarrowwidth="narrow" endarrowlength="short"/>
                <v:textbox inset="2.53958mm,1.2694mm,2.53958mm,1.2694mm">
                  <w:txbxContent>
                    <w:p w:rsidR="006A2EA5" w:rsidRDefault="002E26B6">
                      <w:pPr>
                        <w:spacing w:after="0" w:line="240" w:lineRule="auto"/>
                        <w:jc w:val="center"/>
                        <w:textDirection w:val="btLr"/>
                      </w:pPr>
                      <w:r>
                        <w:rPr>
                          <w:rFonts w:ascii="Arial" w:eastAsia="Arial" w:hAnsi="Arial" w:cs="Arial"/>
                          <w:b/>
                          <w:color w:val="000000"/>
                          <w:sz w:val="28"/>
                        </w:rPr>
                        <w:t>UNIT OVERVIEW:</w:t>
                      </w:r>
                      <w:r>
                        <w:rPr>
                          <w:rFonts w:ascii="Arial" w:eastAsia="Arial" w:hAnsi="Arial" w:cs="Arial"/>
                          <w:color w:val="000000"/>
                          <w:sz w:val="28"/>
                        </w:rPr>
                        <w:t xml:space="preserve"> </w:t>
                      </w:r>
                      <w:r w:rsidR="00A74671">
                        <w:rPr>
                          <w:rFonts w:ascii="Arial" w:eastAsia="Arial" w:hAnsi="Arial" w:cs="Arial"/>
                          <w:color w:val="000000"/>
                          <w:sz w:val="28"/>
                          <w:szCs w:val="28"/>
                        </w:rPr>
                        <w:t>Unit 12 – Promoting Positive Behaviour in H&amp;SC</w:t>
                      </w:r>
                    </w:p>
                    <w:p w:rsidR="006A2EA5" w:rsidRDefault="002E26B6">
                      <w:pPr>
                        <w:spacing w:after="0" w:line="240" w:lineRule="auto"/>
                        <w:jc w:val="center"/>
                        <w:textDirection w:val="btLr"/>
                      </w:pPr>
                      <w:r>
                        <w:rPr>
                          <w:rFonts w:ascii="Arial" w:eastAsia="Arial" w:hAnsi="Arial" w:cs="Arial"/>
                          <w:b/>
                          <w:color w:val="000000"/>
                          <w:sz w:val="28"/>
                        </w:rPr>
                        <w:t xml:space="preserve">ENQUIRY: </w:t>
                      </w:r>
                      <w:r w:rsidR="00347EA6">
                        <w:rPr>
                          <w:rFonts w:ascii="Arial" w:eastAsia="Arial" w:hAnsi="Arial" w:cs="Arial"/>
                          <w:b/>
                          <w:color w:val="000000"/>
                          <w:sz w:val="28"/>
                        </w:rPr>
                        <w:t>What are deemed reasonable behaviours in the workplace?</w:t>
                      </w:r>
                      <w:bookmarkStart w:id="1" w:name="_GoBack"/>
                      <w:bookmarkEnd w:id="1"/>
                    </w:p>
                  </w:txbxContent>
                </v:textbox>
              </v:rect>
            </w:pict>
          </mc:Fallback>
        </mc:AlternateContent>
      </w:r>
    </w:p>
    <w:p w:rsidR="006A2EA5" w:rsidRDefault="006A2EA5"/>
    <w:tbl>
      <w:tblPr>
        <w:tblStyle w:val="a"/>
        <w:tblW w:w="104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5155"/>
        <w:gridCol w:w="3352"/>
        <w:gridCol w:w="988"/>
        <w:gridCol w:w="925"/>
      </w:tblGrid>
      <w:tr w:rsidR="006A2EA5">
        <w:tc>
          <w:tcPr>
            <w:tcW w:w="10420" w:type="dxa"/>
            <w:gridSpan w:val="4"/>
          </w:tcPr>
          <w:p w:rsidR="006A2EA5" w:rsidRDefault="002E26B6">
            <w:pPr>
              <w:pBdr>
                <w:top w:val="nil"/>
                <w:left w:val="nil"/>
                <w:bottom w:val="nil"/>
                <w:right w:val="nil"/>
                <w:between w:val="nil"/>
              </w:pBdr>
              <w:spacing w:after="0" w:line="240" w:lineRule="auto"/>
              <w:rPr>
                <w:color w:val="000000"/>
              </w:rPr>
            </w:pPr>
            <w:r>
              <w:rPr>
                <w:rFonts w:ascii="Arial" w:eastAsia="Arial" w:hAnsi="Arial" w:cs="Arial"/>
                <w:b/>
                <w:color w:val="000000"/>
                <w:sz w:val="24"/>
                <w:szCs w:val="24"/>
              </w:rPr>
              <w:t xml:space="preserve">Unit intention: </w:t>
            </w:r>
          </w:p>
          <w:p w:rsidR="006A2EA5" w:rsidRDefault="00347EA6">
            <w:pPr>
              <w:pBdr>
                <w:top w:val="nil"/>
                <w:left w:val="nil"/>
                <w:bottom w:val="nil"/>
                <w:right w:val="nil"/>
                <w:between w:val="nil"/>
              </w:pBdr>
              <w:spacing w:after="0" w:line="240" w:lineRule="auto"/>
              <w:rPr>
                <w:color w:val="000000"/>
              </w:rPr>
            </w:pPr>
            <w:bookmarkStart w:id="2" w:name="_heading=h.gjdgxs" w:colFirst="0" w:colLast="0"/>
            <w:bookmarkEnd w:id="2"/>
            <w:r>
              <w:t>This unit will introduce you to ways in which you can promote positive behaviour and manage and support people whose behaviour is considered to be challenging. You will see the impact of the way care and support are delivered, the environment and other factors on behaviour and how to manage these to promote positive behaviour.</w:t>
            </w:r>
          </w:p>
        </w:tc>
      </w:tr>
      <w:tr w:rsidR="006A2EA5">
        <w:trPr>
          <w:trHeight w:val="592"/>
        </w:trPr>
        <w:tc>
          <w:tcPr>
            <w:tcW w:w="8507" w:type="dxa"/>
            <w:gridSpan w:val="2"/>
          </w:tcPr>
          <w:p w:rsidR="006A2EA5" w:rsidRDefault="002E26B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Success criteria</w:t>
            </w:r>
          </w:p>
        </w:tc>
        <w:tc>
          <w:tcPr>
            <w:tcW w:w="988" w:type="dxa"/>
          </w:tcPr>
          <w:p w:rsidR="006A2EA5" w:rsidRDefault="002E26B6">
            <w:pPr>
              <w:pBdr>
                <w:top w:val="nil"/>
                <w:left w:val="nil"/>
                <w:bottom w:val="nil"/>
                <w:right w:val="nil"/>
                <w:between w:val="nil"/>
              </w:pBdr>
              <w:spacing w:after="0" w:line="240" w:lineRule="auto"/>
              <w:rPr>
                <w:color w:val="000000"/>
              </w:rPr>
            </w:pPr>
            <w:r>
              <w:rPr>
                <w:rFonts w:ascii="Wingdings 2" w:eastAsia="Wingdings 2" w:hAnsi="Wingdings 2" w:cs="Wingdings 2"/>
                <w:color w:val="000000"/>
                <w:sz w:val="44"/>
                <w:szCs w:val="44"/>
              </w:rPr>
              <w:t>✓</w:t>
            </w:r>
          </w:p>
        </w:tc>
        <w:tc>
          <w:tcPr>
            <w:tcW w:w="925" w:type="dxa"/>
          </w:tcPr>
          <w:p w:rsidR="006A2EA5" w:rsidRDefault="002E26B6">
            <w:pPr>
              <w:pBdr>
                <w:top w:val="nil"/>
                <w:left w:val="nil"/>
                <w:bottom w:val="nil"/>
                <w:right w:val="nil"/>
                <w:between w:val="nil"/>
              </w:pBdr>
              <w:spacing w:after="0" w:line="240" w:lineRule="auto"/>
              <w:rPr>
                <w:color w:val="000000"/>
              </w:rPr>
            </w:pPr>
            <w:r>
              <w:rPr>
                <w:color w:val="000000"/>
                <w:sz w:val="36"/>
                <w:szCs w:val="36"/>
              </w:rPr>
              <w:t>X</w:t>
            </w:r>
          </w:p>
        </w:tc>
      </w:tr>
      <w:tr w:rsidR="006A2EA5">
        <w:trPr>
          <w:trHeight w:val="2929"/>
        </w:trPr>
        <w:tc>
          <w:tcPr>
            <w:tcW w:w="8507" w:type="dxa"/>
            <w:gridSpan w:val="2"/>
          </w:tcPr>
          <w:p w:rsidR="003D6A59" w:rsidRPr="00347EA6" w:rsidRDefault="00347EA6" w:rsidP="003D6A59">
            <w:pPr>
              <w:pStyle w:val="ListParagraph"/>
              <w:numPr>
                <w:ilvl w:val="0"/>
                <w:numId w:val="1"/>
              </w:numPr>
              <w:rPr>
                <w:rFonts w:ascii="Arial" w:eastAsia="Arial" w:hAnsi="Arial" w:cs="Arial"/>
                <w:sz w:val="20"/>
                <w:szCs w:val="20"/>
              </w:rPr>
            </w:pPr>
            <w:r>
              <w:t>Be able to promote positive behaviour</w:t>
            </w:r>
          </w:p>
          <w:p w:rsidR="00347EA6" w:rsidRPr="00347EA6" w:rsidRDefault="00347EA6" w:rsidP="003D6A59">
            <w:pPr>
              <w:pStyle w:val="ListParagraph"/>
              <w:numPr>
                <w:ilvl w:val="0"/>
                <w:numId w:val="1"/>
              </w:numPr>
              <w:rPr>
                <w:rFonts w:ascii="Arial" w:eastAsia="Arial" w:hAnsi="Arial" w:cs="Arial"/>
                <w:sz w:val="20"/>
                <w:szCs w:val="20"/>
              </w:rPr>
            </w:pPr>
            <w:r>
              <w:t>Understand situations in which staff are required to use reactive and restrictive interventions</w:t>
            </w:r>
          </w:p>
          <w:p w:rsidR="00347EA6" w:rsidRPr="00347EA6" w:rsidRDefault="00347EA6" w:rsidP="003D6A59">
            <w:pPr>
              <w:pStyle w:val="ListParagraph"/>
              <w:numPr>
                <w:ilvl w:val="0"/>
                <w:numId w:val="1"/>
              </w:numPr>
              <w:rPr>
                <w:rFonts w:ascii="Arial" w:eastAsia="Arial" w:hAnsi="Arial" w:cs="Arial"/>
                <w:sz w:val="20"/>
                <w:szCs w:val="20"/>
              </w:rPr>
            </w:pPr>
            <w:r>
              <w:t>Be able to use interventions to promote positive behaviour, considering the impact on the individual</w:t>
            </w:r>
          </w:p>
          <w:p w:rsidR="00347EA6" w:rsidRPr="003D6A59" w:rsidRDefault="00347EA6" w:rsidP="003D6A59">
            <w:pPr>
              <w:pStyle w:val="ListParagraph"/>
              <w:numPr>
                <w:ilvl w:val="0"/>
                <w:numId w:val="1"/>
              </w:numPr>
              <w:rPr>
                <w:rFonts w:ascii="Arial" w:eastAsia="Arial" w:hAnsi="Arial" w:cs="Arial"/>
                <w:sz w:val="20"/>
                <w:szCs w:val="20"/>
              </w:rPr>
            </w:pPr>
            <w:r>
              <w:t>Know relevant legislation and guidance related to promoting positive behaviour</w:t>
            </w:r>
          </w:p>
        </w:tc>
        <w:tc>
          <w:tcPr>
            <w:tcW w:w="988" w:type="dxa"/>
          </w:tcPr>
          <w:p w:rsidR="006A2EA5" w:rsidRDefault="006A2EA5"/>
        </w:tc>
        <w:tc>
          <w:tcPr>
            <w:tcW w:w="925" w:type="dxa"/>
          </w:tcPr>
          <w:p w:rsidR="006A2EA5" w:rsidRDefault="006A2EA5"/>
        </w:tc>
      </w:tr>
      <w:tr w:rsidR="006A2EA5">
        <w:trPr>
          <w:trHeight w:val="1471"/>
        </w:trPr>
        <w:tc>
          <w:tcPr>
            <w:tcW w:w="10420" w:type="dxa"/>
            <w:gridSpan w:val="4"/>
          </w:tcPr>
          <w:p w:rsidR="006A2EA5" w:rsidRDefault="002E26B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Unit summative and formative assessment details:</w:t>
            </w:r>
          </w:p>
          <w:p w:rsidR="006A2EA5" w:rsidRDefault="006A2EA5">
            <w:pPr>
              <w:pBdr>
                <w:top w:val="nil"/>
                <w:left w:val="nil"/>
                <w:bottom w:val="nil"/>
                <w:right w:val="nil"/>
                <w:between w:val="nil"/>
              </w:pBdr>
              <w:spacing w:after="0" w:line="240" w:lineRule="auto"/>
              <w:rPr>
                <w:rFonts w:ascii="Arial" w:eastAsia="Arial" w:hAnsi="Arial" w:cs="Arial"/>
                <w:b/>
                <w:color w:val="000000"/>
                <w:sz w:val="24"/>
                <w:szCs w:val="24"/>
              </w:rPr>
            </w:pPr>
          </w:p>
          <w:p w:rsidR="006A2EA5" w:rsidRDefault="002E26B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Summative feedback (see PE policy)</w:t>
            </w:r>
          </w:p>
          <w:p w:rsidR="006A2EA5" w:rsidRDefault="002E26B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Questioning </w:t>
            </w:r>
          </w:p>
          <w:p w:rsidR="006A2EA5" w:rsidRDefault="002E26B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Teacher assessment</w:t>
            </w:r>
          </w:p>
          <w:p w:rsidR="006A2EA5" w:rsidRDefault="002E26B6">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This unit is externally assessed by an OCR set and marked examination. </w:t>
            </w:r>
          </w:p>
          <w:p w:rsidR="006A2EA5" w:rsidRDefault="006A2EA5">
            <w:pPr>
              <w:pBdr>
                <w:top w:val="nil"/>
                <w:left w:val="nil"/>
                <w:bottom w:val="nil"/>
                <w:right w:val="nil"/>
                <w:between w:val="nil"/>
              </w:pBdr>
              <w:spacing w:after="0" w:line="240" w:lineRule="auto"/>
              <w:rPr>
                <w:rFonts w:ascii="Arial" w:eastAsia="Arial" w:hAnsi="Arial" w:cs="Arial"/>
                <w:sz w:val="20"/>
                <w:szCs w:val="20"/>
              </w:rPr>
            </w:pPr>
          </w:p>
        </w:tc>
      </w:tr>
      <w:tr w:rsidR="006A2EA5">
        <w:trPr>
          <w:trHeight w:val="1387"/>
        </w:trPr>
        <w:tc>
          <w:tcPr>
            <w:tcW w:w="10420" w:type="dxa"/>
            <w:gridSpan w:val="4"/>
          </w:tcPr>
          <w:p w:rsidR="006A2EA5" w:rsidRDefault="002E26B6">
            <w:pPr>
              <w:rPr>
                <w:rFonts w:ascii="Arial" w:eastAsia="Arial" w:hAnsi="Arial" w:cs="Arial"/>
                <w:b/>
                <w:sz w:val="24"/>
                <w:szCs w:val="24"/>
              </w:rPr>
            </w:pPr>
            <w:r>
              <w:rPr>
                <w:rFonts w:ascii="Arial" w:eastAsia="Arial" w:hAnsi="Arial" w:cs="Arial"/>
                <w:b/>
                <w:sz w:val="24"/>
                <w:szCs w:val="24"/>
              </w:rPr>
              <w:t>Home Learning (What and how often):</w:t>
            </w:r>
          </w:p>
          <w:p w:rsidR="003D6A59" w:rsidRDefault="002E26B6">
            <w:r>
              <w:t xml:space="preserve">Students to be given homework at the </w:t>
            </w:r>
            <w:proofErr w:type="gramStart"/>
            <w:r>
              <w:t>teachers</w:t>
            </w:r>
            <w:proofErr w:type="gramEnd"/>
            <w:r>
              <w:t xml:space="preserve"> discretion to aid learning</w:t>
            </w:r>
          </w:p>
          <w:p w:rsidR="006A2EA5" w:rsidRDefault="002E26B6">
            <w:r>
              <w:t>Google Classroom to be used.</w:t>
            </w:r>
          </w:p>
          <w:p w:rsidR="006A2EA5" w:rsidRDefault="002E26B6">
            <w:pPr>
              <w:pBdr>
                <w:top w:val="nil"/>
                <w:left w:val="nil"/>
                <w:bottom w:val="nil"/>
                <w:right w:val="nil"/>
                <w:between w:val="nil"/>
              </w:pBdr>
              <w:spacing w:after="0" w:line="240" w:lineRule="auto"/>
              <w:rPr>
                <w:color w:val="000000"/>
              </w:rPr>
            </w:pPr>
            <w:r>
              <w:rPr>
                <w:color w:val="000000"/>
              </w:rPr>
              <w:t>Research tasks</w:t>
            </w:r>
          </w:p>
          <w:p w:rsidR="006A2EA5" w:rsidRDefault="006A2EA5">
            <w:pPr>
              <w:pBdr>
                <w:top w:val="nil"/>
                <w:left w:val="nil"/>
                <w:bottom w:val="nil"/>
                <w:right w:val="nil"/>
                <w:between w:val="nil"/>
              </w:pBdr>
              <w:spacing w:after="0" w:line="240" w:lineRule="auto"/>
              <w:rPr>
                <w:color w:val="000000"/>
              </w:rPr>
            </w:pPr>
          </w:p>
        </w:tc>
      </w:tr>
      <w:tr w:rsidR="006A2EA5">
        <w:trPr>
          <w:trHeight w:val="3873"/>
        </w:trPr>
        <w:tc>
          <w:tcPr>
            <w:tcW w:w="5155" w:type="dxa"/>
          </w:tcPr>
          <w:p w:rsidR="003D6A59" w:rsidRDefault="002E26B6" w:rsidP="003D6A59">
            <w:pPr>
              <w:pBdr>
                <w:top w:val="nil"/>
                <w:left w:val="nil"/>
                <w:bottom w:val="nil"/>
                <w:right w:val="nil"/>
                <w:between w:val="nil"/>
              </w:pBdr>
              <w:spacing w:after="0" w:line="240" w:lineRule="auto"/>
              <w:rPr>
                <w:b/>
                <w:sz w:val="32"/>
                <w:szCs w:val="32"/>
              </w:rPr>
            </w:pPr>
            <w:r>
              <w:rPr>
                <w:b/>
                <w:color w:val="000000"/>
                <w:sz w:val="32"/>
                <w:szCs w:val="32"/>
              </w:rPr>
              <w:lastRenderedPageBreak/>
              <w:t>Topic Sequence</w:t>
            </w:r>
          </w:p>
          <w:p w:rsidR="003D6A59" w:rsidRDefault="003D6A59" w:rsidP="003D6A59">
            <w:pPr>
              <w:pBdr>
                <w:top w:val="nil"/>
                <w:left w:val="nil"/>
                <w:bottom w:val="nil"/>
                <w:right w:val="nil"/>
                <w:between w:val="nil"/>
              </w:pBdr>
              <w:spacing w:after="0" w:line="240" w:lineRule="auto"/>
              <w:rPr>
                <w:b/>
                <w:sz w:val="32"/>
                <w:szCs w:val="32"/>
              </w:rPr>
            </w:pPr>
          </w:p>
          <w:p w:rsidR="00347EA6" w:rsidRPr="00347EA6" w:rsidRDefault="00347EA6" w:rsidP="00347EA6">
            <w:pPr>
              <w:pStyle w:val="ListParagraph"/>
              <w:numPr>
                <w:ilvl w:val="0"/>
                <w:numId w:val="3"/>
              </w:numPr>
              <w:rPr>
                <w:rFonts w:ascii="Arial" w:eastAsia="Arial" w:hAnsi="Arial" w:cs="Arial"/>
                <w:sz w:val="20"/>
                <w:szCs w:val="20"/>
              </w:rPr>
            </w:pPr>
            <w:r>
              <w:t>Be able to promote positive behaviour</w:t>
            </w:r>
          </w:p>
          <w:p w:rsidR="00347EA6" w:rsidRPr="00347EA6" w:rsidRDefault="00347EA6" w:rsidP="00347EA6">
            <w:pPr>
              <w:pStyle w:val="ListParagraph"/>
              <w:numPr>
                <w:ilvl w:val="0"/>
                <w:numId w:val="3"/>
              </w:numPr>
              <w:rPr>
                <w:rFonts w:ascii="Arial" w:eastAsia="Arial" w:hAnsi="Arial" w:cs="Arial"/>
                <w:sz w:val="20"/>
                <w:szCs w:val="20"/>
              </w:rPr>
            </w:pPr>
            <w:r>
              <w:t>Understand situations in which staff are required to use reactive and restrictive interventions</w:t>
            </w:r>
          </w:p>
          <w:p w:rsidR="00347EA6" w:rsidRPr="00347EA6" w:rsidRDefault="00347EA6" w:rsidP="00347EA6">
            <w:pPr>
              <w:pStyle w:val="ListParagraph"/>
              <w:numPr>
                <w:ilvl w:val="0"/>
                <w:numId w:val="3"/>
              </w:numPr>
              <w:rPr>
                <w:rFonts w:ascii="Arial" w:eastAsia="Arial" w:hAnsi="Arial" w:cs="Arial"/>
                <w:sz w:val="20"/>
                <w:szCs w:val="20"/>
              </w:rPr>
            </w:pPr>
            <w:r>
              <w:t>Be able to use interventions to promote positive behaviour, considering the impact on the individual</w:t>
            </w:r>
          </w:p>
          <w:p w:rsidR="006A2EA5" w:rsidRPr="00347EA6" w:rsidRDefault="00347EA6" w:rsidP="00347EA6">
            <w:pPr>
              <w:pStyle w:val="ListParagraph"/>
              <w:numPr>
                <w:ilvl w:val="0"/>
                <w:numId w:val="3"/>
              </w:numPr>
              <w:rPr>
                <w:rFonts w:ascii="Arial" w:eastAsia="Arial" w:hAnsi="Arial" w:cs="Arial"/>
                <w:sz w:val="20"/>
                <w:szCs w:val="20"/>
              </w:rPr>
            </w:pPr>
            <w:r>
              <w:t>Know relevant legislation and guidance related to promoting positive behaviour</w:t>
            </w:r>
          </w:p>
        </w:tc>
        <w:tc>
          <w:tcPr>
            <w:tcW w:w="5265" w:type="dxa"/>
            <w:gridSpan w:val="3"/>
          </w:tcPr>
          <w:p w:rsidR="006A2EA5" w:rsidRDefault="002E26B6">
            <w:pPr>
              <w:pBdr>
                <w:top w:val="nil"/>
                <w:left w:val="nil"/>
                <w:bottom w:val="nil"/>
                <w:right w:val="nil"/>
                <w:between w:val="nil"/>
              </w:pBdr>
              <w:spacing w:after="0" w:line="240" w:lineRule="auto"/>
              <w:rPr>
                <w:b/>
                <w:sz w:val="24"/>
                <w:szCs w:val="24"/>
              </w:rPr>
            </w:pPr>
            <w:r>
              <w:rPr>
                <w:b/>
                <w:color w:val="000000"/>
                <w:sz w:val="24"/>
                <w:szCs w:val="24"/>
              </w:rPr>
              <w:t xml:space="preserve">Recommended reading to support Home Learning: </w:t>
            </w:r>
          </w:p>
          <w:p w:rsidR="006A2EA5" w:rsidRDefault="002E26B6">
            <w:pPr>
              <w:pBdr>
                <w:top w:val="nil"/>
                <w:left w:val="nil"/>
                <w:bottom w:val="nil"/>
                <w:right w:val="nil"/>
                <w:between w:val="nil"/>
              </w:pBdr>
              <w:spacing w:after="0" w:line="240" w:lineRule="auto"/>
              <w:rPr>
                <w:color w:val="000000"/>
                <w:sz w:val="20"/>
                <w:szCs w:val="20"/>
              </w:rPr>
            </w:pPr>
            <w:r>
              <w:rPr>
                <w:rFonts w:ascii="Arial" w:eastAsia="Arial" w:hAnsi="Arial" w:cs="Arial"/>
              </w:rPr>
              <w:t>Cambridge TECHNICALS Level 3 Book Adams, Riley et al.2021</w:t>
            </w:r>
          </w:p>
          <w:p w:rsidR="006A2EA5" w:rsidRDefault="002E26B6">
            <w:pPr>
              <w:pBdr>
                <w:top w:val="nil"/>
                <w:left w:val="nil"/>
                <w:bottom w:val="nil"/>
                <w:right w:val="nil"/>
                <w:between w:val="nil"/>
              </w:pBdr>
              <w:spacing w:after="0" w:line="240" w:lineRule="auto"/>
              <w:rPr>
                <w:color w:val="000000"/>
                <w:sz w:val="20"/>
                <w:szCs w:val="20"/>
              </w:rPr>
            </w:pPr>
            <w:r>
              <w:rPr>
                <w:rFonts w:ascii="Arial" w:eastAsia="Arial" w:hAnsi="Arial" w:cs="Arial"/>
                <w:color w:val="000000"/>
              </w:rPr>
              <w:t xml:space="preserve">Google Classroom to be used. </w:t>
            </w:r>
          </w:p>
          <w:p w:rsidR="006A2EA5" w:rsidRDefault="006A2EA5">
            <w:pPr>
              <w:pBdr>
                <w:top w:val="nil"/>
                <w:left w:val="nil"/>
                <w:bottom w:val="nil"/>
                <w:right w:val="nil"/>
                <w:between w:val="nil"/>
              </w:pBdr>
              <w:spacing w:after="0" w:line="240" w:lineRule="auto"/>
              <w:rPr>
                <w:b/>
                <w:color w:val="000000"/>
                <w:sz w:val="24"/>
                <w:szCs w:val="24"/>
              </w:rPr>
            </w:pPr>
          </w:p>
          <w:p w:rsidR="006A2EA5" w:rsidRDefault="002E26B6">
            <w:pPr>
              <w:pBdr>
                <w:top w:val="nil"/>
                <w:left w:val="nil"/>
                <w:bottom w:val="nil"/>
                <w:right w:val="nil"/>
                <w:between w:val="nil"/>
              </w:pBdr>
              <w:spacing w:after="0" w:line="240" w:lineRule="auto"/>
              <w:rPr>
                <w:b/>
                <w:color w:val="000000"/>
                <w:sz w:val="24"/>
                <w:szCs w:val="24"/>
              </w:rPr>
            </w:pPr>
            <w:r>
              <w:rPr>
                <w:b/>
                <w:color w:val="000000"/>
                <w:sz w:val="24"/>
                <w:szCs w:val="24"/>
              </w:rPr>
              <w:t>Recommended places to visit with your family:</w:t>
            </w:r>
          </w:p>
          <w:p w:rsidR="006A2EA5" w:rsidRDefault="002E26B6">
            <w:pPr>
              <w:pBdr>
                <w:top w:val="nil"/>
                <w:left w:val="nil"/>
                <w:bottom w:val="nil"/>
                <w:right w:val="nil"/>
                <w:between w:val="nil"/>
              </w:pBdr>
              <w:spacing w:after="0" w:line="240" w:lineRule="auto"/>
              <w:rPr>
                <w:rFonts w:ascii="Arial" w:eastAsia="Arial" w:hAnsi="Arial" w:cs="Arial"/>
                <w:color w:val="222223"/>
                <w:sz w:val="20"/>
                <w:szCs w:val="20"/>
              </w:rPr>
            </w:pPr>
            <w:r>
              <w:rPr>
                <w:rFonts w:ascii="Arial" w:eastAsia="Arial" w:hAnsi="Arial" w:cs="Arial"/>
                <w:color w:val="222223"/>
                <w:sz w:val="20"/>
                <w:szCs w:val="20"/>
              </w:rPr>
              <w:t>The Royal College of Surgeons of England</w:t>
            </w:r>
          </w:p>
          <w:p w:rsidR="006A2EA5" w:rsidRDefault="00496959">
            <w:pPr>
              <w:pBdr>
                <w:top w:val="nil"/>
                <w:left w:val="nil"/>
                <w:bottom w:val="nil"/>
                <w:right w:val="nil"/>
                <w:between w:val="nil"/>
              </w:pBdr>
              <w:spacing w:after="0" w:line="240" w:lineRule="auto"/>
              <w:rPr>
                <w:rFonts w:ascii="Arial" w:eastAsia="Arial" w:hAnsi="Arial" w:cs="Arial"/>
                <w:color w:val="222223"/>
                <w:sz w:val="20"/>
                <w:szCs w:val="20"/>
              </w:rPr>
            </w:pPr>
            <w:hyperlink r:id="rId8">
              <w:r w:rsidR="002E26B6">
                <w:rPr>
                  <w:rFonts w:ascii="Arial" w:eastAsia="Arial" w:hAnsi="Arial" w:cs="Arial"/>
                  <w:color w:val="0000FF"/>
                  <w:sz w:val="20"/>
                  <w:szCs w:val="20"/>
                  <w:u w:val="single"/>
                </w:rPr>
                <w:t>https://www.rcseng.ac.uk/</w:t>
              </w:r>
            </w:hyperlink>
            <w:r w:rsidR="002E26B6">
              <w:rPr>
                <w:rFonts w:ascii="Arial" w:eastAsia="Arial" w:hAnsi="Arial" w:cs="Arial"/>
                <w:color w:val="222223"/>
                <w:sz w:val="20"/>
                <w:szCs w:val="20"/>
              </w:rPr>
              <w:t xml:space="preserve"> </w:t>
            </w:r>
          </w:p>
          <w:p w:rsidR="006A2EA5" w:rsidRDefault="006A2EA5">
            <w:pPr>
              <w:pBdr>
                <w:top w:val="nil"/>
                <w:left w:val="nil"/>
                <w:bottom w:val="nil"/>
                <w:right w:val="nil"/>
                <w:between w:val="nil"/>
              </w:pBdr>
              <w:spacing w:after="0" w:line="240" w:lineRule="auto"/>
              <w:rPr>
                <w:rFonts w:ascii="Arial" w:eastAsia="Arial" w:hAnsi="Arial" w:cs="Arial"/>
                <w:color w:val="222223"/>
                <w:sz w:val="20"/>
                <w:szCs w:val="20"/>
              </w:rPr>
            </w:pPr>
          </w:p>
          <w:p w:rsidR="006A2EA5" w:rsidRDefault="002E26B6">
            <w:pPr>
              <w:pBdr>
                <w:top w:val="nil"/>
                <w:left w:val="nil"/>
                <w:bottom w:val="nil"/>
                <w:right w:val="nil"/>
                <w:between w:val="nil"/>
              </w:pBdr>
              <w:spacing w:after="0" w:line="240" w:lineRule="auto"/>
              <w:rPr>
                <w:color w:val="000000"/>
                <w:sz w:val="20"/>
                <w:szCs w:val="20"/>
              </w:rPr>
            </w:pPr>
            <w:r>
              <w:rPr>
                <w:rFonts w:ascii="Arial" w:eastAsia="Arial" w:hAnsi="Arial" w:cs="Arial"/>
                <w:color w:val="222223"/>
                <w:sz w:val="20"/>
                <w:szCs w:val="20"/>
              </w:rPr>
              <w:t>Volunteering -</w:t>
            </w:r>
            <w:hyperlink r:id="rId9">
              <w:r>
                <w:rPr>
                  <w:rFonts w:ascii="Arial" w:eastAsia="Arial" w:hAnsi="Arial" w:cs="Arial"/>
                  <w:color w:val="222223"/>
                  <w:sz w:val="20"/>
                  <w:szCs w:val="20"/>
                </w:rPr>
                <w:t xml:space="preserve"> </w:t>
              </w:r>
            </w:hyperlink>
            <w:hyperlink r:id="rId10">
              <w:r>
                <w:rPr>
                  <w:rFonts w:ascii="Arial" w:eastAsia="Arial" w:hAnsi="Arial" w:cs="Arial"/>
                  <w:color w:val="1155CC"/>
                  <w:sz w:val="20"/>
                  <w:szCs w:val="20"/>
                  <w:u w:val="single"/>
                </w:rPr>
                <w:t>https://www.uclh.nhs.uk/work-with-us/volunteering</w:t>
              </w:r>
            </w:hyperlink>
          </w:p>
        </w:tc>
      </w:tr>
    </w:tbl>
    <w:p w:rsidR="006A2EA5" w:rsidRDefault="006A2EA5"/>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6A2EA5" w:rsidRDefault="006A2EA5"/>
    <w:tbl>
      <w:tblPr>
        <w:tblStyle w:val="a0"/>
        <w:tblW w:w="10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75"/>
      </w:tblGrid>
      <w:tr w:rsidR="006A2EA5">
        <w:trPr>
          <w:trHeight w:val="550"/>
        </w:trPr>
        <w:tc>
          <w:tcPr>
            <w:tcW w:w="10175" w:type="dxa"/>
          </w:tcPr>
          <w:p w:rsidR="006A2EA5" w:rsidRDefault="002E26B6">
            <w:r>
              <w:rPr>
                <w:b/>
                <w:sz w:val="32"/>
                <w:szCs w:val="32"/>
              </w:rPr>
              <w:lastRenderedPageBreak/>
              <w:t>Success criteria</w:t>
            </w:r>
            <w:r>
              <w:t xml:space="preserve"> – Have you met them? Show your </w:t>
            </w:r>
            <w:r>
              <w:rPr>
                <w:u w:val="single"/>
              </w:rPr>
              <w:t>evidence</w:t>
            </w:r>
            <w:r>
              <w:t xml:space="preserve"> in the boxes below.</w:t>
            </w:r>
          </w:p>
        </w:tc>
      </w:tr>
      <w:tr w:rsidR="006A2EA5">
        <w:trPr>
          <w:trHeight w:val="1651"/>
        </w:trPr>
        <w:tc>
          <w:tcPr>
            <w:tcW w:w="10175" w:type="dxa"/>
          </w:tcPr>
          <w:p w:rsidR="006A2EA5" w:rsidRDefault="002E26B6">
            <w:pPr>
              <w:rPr>
                <w:b/>
                <w:sz w:val="36"/>
                <w:szCs w:val="36"/>
              </w:rPr>
            </w:pPr>
            <w:r>
              <w:rPr>
                <w:b/>
                <w:sz w:val="36"/>
                <w:szCs w:val="36"/>
              </w:rPr>
              <w:t>1.</w:t>
            </w:r>
          </w:p>
          <w:p w:rsidR="006A2EA5" w:rsidRDefault="006A2EA5">
            <w:pPr>
              <w:rPr>
                <w:b/>
              </w:rPr>
            </w:pPr>
          </w:p>
        </w:tc>
      </w:tr>
      <w:tr w:rsidR="006A2EA5">
        <w:trPr>
          <w:trHeight w:val="1619"/>
        </w:trPr>
        <w:tc>
          <w:tcPr>
            <w:tcW w:w="10175" w:type="dxa"/>
          </w:tcPr>
          <w:p w:rsidR="006A2EA5" w:rsidRDefault="002E26B6">
            <w:pPr>
              <w:rPr>
                <w:b/>
                <w:sz w:val="36"/>
                <w:szCs w:val="36"/>
              </w:rPr>
            </w:pPr>
            <w:r>
              <w:rPr>
                <w:b/>
                <w:sz w:val="36"/>
                <w:szCs w:val="36"/>
              </w:rPr>
              <w:t>2.</w:t>
            </w:r>
          </w:p>
          <w:p w:rsidR="006A2EA5" w:rsidRDefault="006A2EA5">
            <w:pPr>
              <w:rPr>
                <w:b/>
              </w:rPr>
            </w:pPr>
          </w:p>
        </w:tc>
      </w:tr>
      <w:tr w:rsidR="006A2EA5">
        <w:trPr>
          <w:trHeight w:val="1768"/>
        </w:trPr>
        <w:tc>
          <w:tcPr>
            <w:tcW w:w="10175" w:type="dxa"/>
          </w:tcPr>
          <w:p w:rsidR="006A2EA5" w:rsidRDefault="002E26B6">
            <w:pPr>
              <w:rPr>
                <w:b/>
                <w:sz w:val="36"/>
                <w:szCs w:val="36"/>
              </w:rPr>
            </w:pPr>
            <w:r>
              <w:rPr>
                <w:b/>
                <w:sz w:val="36"/>
                <w:szCs w:val="36"/>
              </w:rPr>
              <w:t>3.</w:t>
            </w:r>
          </w:p>
          <w:p w:rsidR="006A2EA5" w:rsidRDefault="006A2EA5">
            <w:pPr>
              <w:rPr>
                <w:b/>
              </w:rPr>
            </w:pPr>
          </w:p>
        </w:tc>
      </w:tr>
      <w:tr w:rsidR="006A2EA5">
        <w:trPr>
          <w:trHeight w:val="1766"/>
        </w:trPr>
        <w:tc>
          <w:tcPr>
            <w:tcW w:w="10175" w:type="dxa"/>
          </w:tcPr>
          <w:p w:rsidR="006A2EA5" w:rsidRDefault="002E26B6">
            <w:pPr>
              <w:rPr>
                <w:b/>
              </w:rPr>
            </w:pPr>
            <w:r>
              <w:rPr>
                <w:b/>
                <w:sz w:val="36"/>
                <w:szCs w:val="36"/>
              </w:rPr>
              <w:t>4.</w:t>
            </w:r>
          </w:p>
        </w:tc>
      </w:tr>
      <w:tr w:rsidR="006A2EA5">
        <w:trPr>
          <w:trHeight w:val="1903"/>
        </w:trPr>
        <w:tc>
          <w:tcPr>
            <w:tcW w:w="10175" w:type="dxa"/>
          </w:tcPr>
          <w:p w:rsidR="006A2EA5" w:rsidRDefault="002E26B6">
            <w:pPr>
              <w:rPr>
                <w:b/>
              </w:rPr>
            </w:pPr>
            <w:r>
              <w:rPr>
                <w:b/>
                <w:sz w:val="36"/>
                <w:szCs w:val="36"/>
              </w:rPr>
              <w:t>5.</w:t>
            </w:r>
          </w:p>
        </w:tc>
      </w:tr>
      <w:tr w:rsidR="006A2EA5">
        <w:trPr>
          <w:trHeight w:val="1624"/>
        </w:trPr>
        <w:tc>
          <w:tcPr>
            <w:tcW w:w="10175" w:type="dxa"/>
          </w:tcPr>
          <w:p w:rsidR="006A2EA5" w:rsidRDefault="002E26B6">
            <w:pPr>
              <w:rPr>
                <w:b/>
                <w:sz w:val="36"/>
                <w:szCs w:val="36"/>
              </w:rPr>
            </w:pPr>
            <w:r>
              <w:rPr>
                <w:b/>
                <w:sz w:val="36"/>
                <w:szCs w:val="36"/>
              </w:rPr>
              <w:t>6.</w:t>
            </w:r>
          </w:p>
        </w:tc>
      </w:tr>
      <w:tr w:rsidR="006A2EA5">
        <w:trPr>
          <w:trHeight w:val="937"/>
        </w:trPr>
        <w:tc>
          <w:tcPr>
            <w:tcW w:w="10175" w:type="dxa"/>
          </w:tcPr>
          <w:p w:rsidR="006A2EA5" w:rsidRDefault="002E26B6">
            <w:pPr>
              <w:rPr>
                <w:b/>
                <w:sz w:val="24"/>
                <w:szCs w:val="24"/>
              </w:rPr>
            </w:pPr>
            <w:r>
              <w:rPr>
                <w:b/>
                <w:sz w:val="24"/>
                <w:szCs w:val="24"/>
              </w:rPr>
              <w:t>How will you improve your work?</w:t>
            </w:r>
          </w:p>
          <w:p w:rsidR="006A2EA5" w:rsidRDefault="006A2EA5">
            <w:pPr>
              <w:rPr>
                <w:b/>
                <w:sz w:val="36"/>
                <w:szCs w:val="36"/>
              </w:rPr>
            </w:pPr>
          </w:p>
        </w:tc>
      </w:tr>
    </w:tbl>
    <w:p w:rsidR="006A2EA5" w:rsidRDefault="002E26B6">
      <w:r>
        <w:rPr>
          <w:noProof/>
        </w:rPr>
        <mc:AlternateContent>
          <mc:Choice Requires="wps">
            <w:drawing>
              <wp:anchor distT="0" distB="0" distL="114300" distR="114300" simplePos="0" relativeHeight="251659264" behindDoc="0" locked="0" layoutInCell="1" hidden="0" allowOverlap="1">
                <wp:simplePos x="0" y="0"/>
                <wp:positionH relativeFrom="column">
                  <wp:posOffset>2019300</wp:posOffset>
                </wp:positionH>
                <wp:positionV relativeFrom="paragraph">
                  <wp:posOffset>-12699</wp:posOffset>
                </wp:positionV>
                <wp:extent cx="2600325" cy="304800"/>
                <wp:effectExtent l="0" t="0" r="0" b="0"/>
                <wp:wrapNone/>
                <wp:docPr id="5" name="Rectangle 5"/>
                <wp:cNvGraphicFramePr/>
                <a:graphic xmlns:a="http://schemas.openxmlformats.org/drawingml/2006/main">
                  <a:graphicData uri="http://schemas.microsoft.com/office/word/2010/wordprocessingShape">
                    <wps:wsp>
                      <wps:cNvSpPr/>
                      <wps:spPr>
                        <a:xfrm>
                          <a:off x="4050600" y="3632363"/>
                          <a:ext cx="2590800"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A2EA5" w:rsidRDefault="002E26B6">
                            <w:pPr>
                              <w:spacing w:line="275" w:lineRule="auto"/>
                              <w:jc w:val="center"/>
                              <w:textDirection w:val="btLr"/>
                            </w:pPr>
                            <w:r>
                              <w:rPr>
                                <w:b/>
                                <w:color w:val="000000"/>
                                <w:sz w:val="28"/>
                              </w:rPr>
                              <w:t>End of Unit EVALUATION</w:t>
                            </w:r>
                          </w:p>
                        </w:txbxContent>
                      </wps:txbx>
                      <wps:bodyPr spcFirstLastPara="1" wrap="square" lIns="91425" tIns="45700" rIns="91425" bIns="45700" anchor="ctr" anchorCtr="0">
                        <a:noAutofit/>
                      </wps:bodyPr>
                    </wps:wsp>
                  </a:graphicData>
                </a:graphic>
              </wp:anchor>
            </w:drawing>
          </mc:Choice>
          <mc:Fallback>
            <w:pict>
              <v:rect id="Rectangle 5" o:spid="_x0000_s1027" style="position:absolute;margin-left:159pt;margin-top:-1pt;width:204.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">
                <v:stroke startarrowwidth="narrow" startarrowlength="short" endarrowwidth="narrow" endarrowlength="short"/>
                <v:textbox inset="2.53958mm,1.2694mm,2.53958mm,1.2694mm">
                  <w:txbxContent>
                    <w:p w:rsidR="006A2EA5" w:rsidRDefault="002E26B6">
                      <w:pPr>
                        <w:spacing w:line="275" w:lineRule="auto"/>
                        <w:jc w:val="center"/>
                        <w:textDirection w:val="btLr"/>
                      </w:pPr>
                      <w:r>
                        <w:rPr>
                          <w:b/>
                          <w:color w:val="000000"/>
                          <w:sz w:val="28"/>
                        </w:rPr>
                        <w:t>End of Unit EVALUATION</w:t>
                      </w:r>
                    </w:p>
                  </w:txbxContent>
                </v:textbox>
              </v:rect>
            </w:pict>
          </mc:Fallback>
        </mc:AlternateContent>
      </w:r>
    </w:p>
    <w:sectPr w:rsidR="006A2EA5">
      <w:head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959" w:rsidRDefault="00496959">
      <w:pPr>
        <w:spacing w:after="0" w:line="240" w:lineRule="auto"/>
      </w:pPr>
      <w:r>
        <w:separator/>
      </w:r>
    </w:p>
  </w:endnote>
  <w:endnote w:type="continuationSeparator" w:id="0">
    <w:p w:rsidR="00496959" w:rsidRDefault="0049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959" w:rsidRDefault="00496959">
      <w:pPr>
        <w:spacing w:after="0" w:line="240" w:lineRule="auto"/>
      </w:pPr>
      <w:r>
        <w:separator/>
      </w:r>
    </w:p>
  </w:footnote>
  <w:footnote w:type="continuationSeparator" w:id="0">
    <w:p w:rsidR="00496959" w:rsidRDefault="00496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A5" w:rsidRDefault="002E26B6">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extent cx="962025" cy="4762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2025" cy="476250"/>
                  </a:xfrm>
                  <a:prstGeom prst="rect">
                    <a:avLst/>
                  </a:prstGeom>
                  <a:ln/>
                </pic:spPr>
              </pic:pic>
            </a:graphicData>
          </a:graphic>
        </wp:inline>
      </w:drawing>
    </w:r>
  </w:p>
  <w:p w:rsidR="006A2EA5" w:rsidRDefault="002E26B6">
    <w:pPr>
      <w:tabs>
        <w:tab w:val="center" w:pos="4513"/>
        <w:tab w:val="right" w:pos="9026"/>
      </w:tabs>
      <w:jc w:val="center"/>
      <w:rPr>
        <w:rFonts w:ascii="Arial" w:eastAsia="Arial" w:hAnsi="Arial" w:cs="Arial"/>
        <w:sz w:val="20"/>
        <w:szCs w:val="20"/>
      </w:rPr>
    </w:pPr>
    <w:r>
      <w:rPr>
        <w:rFonts w:ascii="Arial" w:eastAsia="Arial" w:hAnsi="Arial" w:cs="Arial"/>
        <w:sz w:val="20"/>
        <w:szCs w:val="20"/>
      </w:rPr>
      <w:t>Professionalism. Inclusion. Pedagogy. Curriculum.</w:t>
    </w:r>
  </w:p>
  <w:p w:rsidR="006A2EA5" w:rsidRDefault="002E26B6">
    <w:pPr>
      <w:tabs>
        <w:tab w:val="center" w:pos="4513"/>
        <w:tab w:val="right" w:pos="9026"/>
      </w:tabs>
      <w:jc w:val="center"/>
      <w:rPr>
        <w:rFonts w:ascii="Arial" w:eastAsia="Arial" w:hAnsi="Arial" w:cs="Arial"/>
        <w:sz w:val="20"/>
        <w:szCs w:val="20"/>
      </w:rPr>
    </w:pPr>
    <w:r>
      <w:rPr>
        <w:rFonts w:ascii="Arial" w:eastAsia="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CA"/>
    <w:multiLevelType w:val="hybridMultilevel"/>
    <w:tmpl w:val="C8D06D04"/>
    <w:lvl w:ilvl="0" w:tplc="4D481EFA">
      <w:start w:val="1"/>
      <w:numFmt w:val="decimal"/>
      <w:lvlText w:val="%1."/>
      <w:lvlJc w:val="left"/>
      <w:pPr>
        <w:ind w:left="720" w:hanging="360"/>
      </w:pPr>
      <w:rPr>
        <w:rFonts w:ascii="Arial" w:eastAsia="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E225F"/>
    <w:multiLevelType w:val="hybridMultilevel"/>
    <w:tmpl w:val="C8D06D04"/>
    <w:lvl w:ilvl="0" w:tplc="4D481EFA">
      <w:start w:val="1"/>
      <w:numFmt w:val="decimal"/>
      <w:lvlText w:val="%1."/>
      <w:lvlJc w:val="left"/>
      <w:pPr>
        <w:ind w:left="720" w:hanging="360"/>
      </w:pPr>
      <w:rPr>
        <w:rFonts w:ascii="Arial" w:eastAsia="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29477A"/>
    <w:multiLevelType w:val="hybridMultilevel"/>
    <w:tmpl w:val="AFEC7436"/>
    <w:lvl w:ilvl="0" w:tplc="4D481EFA">
      <w:start w:val="1"/>
      <w:numFmt w:val="decimal"/>
      <w:lvlText w:val="%1."/>
      <w:lvlJc w:val="left"/>
      <w:pPr>
        <w:ind w:left="720" w:hanging="360"/>
      </w:pPr>
      <w:rPr>
        <w:rFonts w:ascii="Arial" w:eastAsia="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A5"/>
    <w:rsid w:val="001C78FB"/>
    <w:rsid w:val="002635DC"/>
    <w:rsid w:val="002E1A10"/>
    <w:rsid w:val="002E26B6"/>
    <w:rsid w:val="00347EA6"/>
    <w:rsid w:val="003D6A59"/>
    <w:rsid w:val="00496959"/>
    <w:rsid w:val="005F1C92"/>
    <w:rsid w:val="006A2EA5"/>
    <w:rsid w:val="007103CD"/>
    <w:rsid w:val="00A74671"/>
    <w:rsid w:val="00CB2A42"/>
    <w:rsid w:val="00DA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206D"/>
  <w15:docId w15:val="{B008308E-CC76-4067-985C-3FDD9E2C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UnresolvedMention">
    <w:name w:val="Unresolved Mention"/>
    <w:basedOn w:val="DefaultParagraphFont"/>
    <w:uiPriority w:val="99"/>
    <w:semiHidden/>
    <w:unhideWhenUsed/>
    <w:rsid w:val="007F49A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cseng.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clh.nhs.uk/work-with-us/volunteering" TargetMode="External"/><Relationship Id="rId4" Type="http://schemas.openxmlformats.org/officeDocument/2006/relationships/settings" Target="settings.xml"/><Relationship Id="rId9" Type="http://schemas.openxmlformats.org/officeDocument/2006/relationships/hyperlink" Target="https://www.uclh.nhs.uk/work-with-us/volunte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bVUla/U1BceDxsM9e+tH8IbqSg==">AMUW2mWg6HVnogSiiMUfWJCRpIX5jA1fAFhDACywuTbh0Crp2bJw8ART3mQpoEVkG7pvcqUnO4qJVjy8v+4PirwQwsm96KwgkNlJGtC66p8ysHNVLxDq+lsINBY+4B6alEYRyJa40hG2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Liam O'Hara</cp:lastModifiedBy>
  <cp:revision>3</cp:revision>
  <dcterms:created xsi:type="dcterms:W3CDTF">2023-02-27T11:07:00Z</dcterms:created>
  <dcterms:modified xsi:type="dcterms:W3CDTF">2023-02-27T11:21:00Z</dcterms:modified>
</cp:coreProperties>
</file>