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1041400</wp:posOffset>
                </wp:positionH>
                <wp:positionV relativeFrom="paragraph">
                  <wp:posOffset>-114299</wp:posOffset>
                </wp:positionV>
                <wp:extent cx="4752975" cy="487485"/>
                <wp:effectExtent b="0" l="0" r="0" t="0"/>
                <wp:wrapNone/>
                <wp:docPr id="4" name=""/>
                <a:graphic>
                  <a:graphicData uri="http://schemas.microsoft.com/office/word/2010/wordprocessingShape">
                    <wps:wsp>
                      <wps:cNvSpPr/>
                      <wps:cNvPr id="2" name="Shape 2"/>
                      <wps:spPr>
                        <a:xfrm>
                          <a:off x="2081275" y="3513300"/>
                          <a:ext cx="6665400" cy="662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UNIT OVERVIEW:</w:t>
                            </w:r>
                            <w:r w:rsidDel="00000000" w:rsidR="00000000" w:rsidRPr="00000000">
                              <w:rPr>
                                <w:rFonts w:ascii="Arial" w:cs="Arial" w:eastAsia="Arial" w:hAnsi="Arial"/>
                                <w:b w:val="0"/>
                                <w:i w:val="0"/>
                                <w:smallCaps w:val="0"/>
                                <w:strike w:val="0"/>
                                <w:color w:val="000000"/>
                                <w:sz w:val="28"/>
                                <w:vertAlign w:val="baseline"/>
                              </w:rPr>
                              <w:t xml:space="preserve"> UNIT 3: Health, safety and security in health and social care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8"/>
                                <w:vertAlign w:val="baseline"/>
                              </w:rPr>
                              <w:t xml:space="preserve">ENQUIRY: </w:t>
                            </w:r>
                            <w:r w:rsidDel="00000000" w:rsidR="00000000" w:rsidRPr="00000000">
                              <w:rPr>
                                <w:rFonts w:ascii="Arial" w:cs="Arial" w:eastAsia="Arial" w:hAnsi="Arial"/>
                                <w:b w:val="1"/>
                                <w:i w:val="0"/>
                                <w:smallCaps w:val="0"/>
                                <w:strike w:val="0"/>
                                <w:color w:val="000000"/>
                                <w:sz w:val="28"/>
                                <w:vertAlign w:val="baseline"/>
                              </w:rPr>
                              <w:t xml:space="preserve">What does it mean to be ‘safe’?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1041400</wp:posOffset>
                </wp:positionH>
                <wp:positionV relativeFrom="paragraph">
                  <wp:posOffset>-114299</wp:posOffset>
                </wp:positionV>
                <wp:extent cx="4752975" cy="48748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752975" cy="48748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W w:w="10420.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5155"/>
        <w:gridCol w:w="3352"/>
        <w:gridCol w:w="988"/>
        <w:gridCol w:w="925"/>
        <w:tblGridChange w:id="0">
          <w:tblGrid>
            <w:gridCol w:w="5155"/>
            <w:gridCol w:w="3352"/>
            <w:gridCol w:w="988"/>
            <w:gridCol w:w="925"/>
          </w:tblGrid>
        </w:tblGridChange>
      </w:tblGrid>
      <w:tr>
        <w:trPr>
          <w:cantSplit w:val="0"/>
          <w:tblHeader w:val="0"/>
        </w:trPr>
        <w:tc>
          <w:tcPr>
            <w:gridSpan w:val="4"/>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intention: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t xml:space="preserve">This unit introduces you to health, safety and security in health and social care. You will acquire the necessary knowledge and skills to equip you in maintaining a safe working environment for yourself, your colleagues and individuals who require care and support. You will learn how legislation, policies and procedures work to reduce risks in health and social care and the consequences of not following them. You will also learn how to respond to different incidents and emergencies with health and social care settings.</w:t>
            </w:r>
            <w:r w:rsidDel="00000000" w:rsidR="00000000" w:rsidRPr="00000000">
              <w:rPr>
                <w:rtl w:val="0"/>
              </w:rPr>
            </w:r>
          </w:p>
        </w:tc>
      </w:tr>
      <w:tr>
        <w:trPr>
          <w:cantSplit w:val="0"/>
          <w:trHeight w:val="592" w:hRule="atLeast"/>
          <w:tblHeader w:val="0"/>
        </w:trPr>
        <w:tc>
          <w:tcPr>
            <w:gridSpan w:val="2"/>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Success criteria</w:t>
            </w:r>
          </w:p>
        </w:tc>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Wingdings 2" w:cs="Wingdings 2" w:eastAsia="Wingdings 2" w:hAnsi="Wingdings 2"/>
                <w:b w:val="0"/>
                <w:i w:val="0"/>
                <w:smallCaps w:val="0"/>
                <w:strike w:val="0"/>
                <w:color w:val="000000"/>
                <w:sz w:val="44"/>
                <w:szCs w:val="44"/>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X</w:t>
            </w:r>
            <w:r w:rsidDel="00000000" w:rsidR="00000000" w:rsidRPr="00000000">
              <w:rPr>
                <w:rtl w:val="0"/>
              </w:rPr>
            </w:r>
          </w:p>
        </w:tc>
      </w:tr>
      <w:tr>
        <w:trPr>
          <w:cantSplit w:val="0"/>
          <w:trHeight w:val="2929" w:hRule="atLeast"/>
          <w:tblHeader w:val="0"/>
        </w:trPr>
        <w:tc>
          <w:tcPr>
            <w:gridSpan w:val="2"/>
          </w:tcPr>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1.Understand potential hazards in health, social care and child care environments</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2. Understand how legislation, policies and procedures promote health, safety and security in health, social care and child care environments</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3. Understand the roles and responsibilities involved in health, safety and security in health, social care and child care environments</w:t>
            </w:r>
          </w:p>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4. Know how to respond to incidents and emergencies in a health, social care or child care environment</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r>
      <w:tr>
        <w:trPr>
          <w:cantSplit w:val="0"/>
          <w:trHeight w:val="1471" w:hRule="atLeast"/>
          <w:tblHeader w:val="0"/>
        </w:trPr>
        <w:tc>
          <w:tcPr>
            <w:gridSpan w:val="4"/>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 summative and formative assessment details: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Summative feedback (see PE policy)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Questioning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Teacher assessment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This unit is externally assessed by an OCR set and marked examination.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rHeight w:val="1387" w:hRule="atLeast"/>
          <w:tblHeader w:val="0"/>
        </w:trPr>
        <w:tc>
          <w:tcPr>
            <w:gridSpan w:val="4"/>
          </w:tcPr>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Home Learning (What and how often):</w:t>
            </w:r>
          </w:p>
          <w:p w:rsidR="00000000" w:rsidDel="00000000" w:rsidP="00000000" w:rsidRDefault="00000000" w:rsidRPr="00000000" w14:paraId="0000001F">
            <w:pPr>
              <w:rPr/>
            </w:pPr>
            <w:r w:rsidDel="00000000" w:rsidR="00000000" w:rsidRPr="00000000">
              <w:rPr>
                <w:rFonts w:ascii="Calibri" w:cs="Calibri" w:eastAsia="Calibri" w:hAnsi="Calibri"/>
                <w:rtl w:val="0"/>
              </w:rPr>
              <w:t xml:space="preserve">Students to be given homework at the teachers discretion to aid learning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Google Classroom to be used.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Research tasks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873" w:hRule="atLeast"/>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32"/>
                <w:szCs w:val="32"/>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Topic Sequence</w:t>
            </w:r>
            <w:r w:rsidDel="00000000" w:rsidR="00000000" w:rsidRPr="00000000">
              <w:rPr>
                <w:rtl w:val="0"/>
              </w:rPr>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1.Understand potential hazards in health, social care and child care environments</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2. Understand how legislation, policies and procedures promote health, safety and security in health, social care and child care environments</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3. Understand the roles and responsibilities involved in health, safety and security in health, social care and child care environments</w:t>
            </w:r>
          </w:p>
          <w:p w:rsidR="00000000" w:rsidDel="00000000" w:rsidP="00000000" w:rsidRDefault="00000000" w:rsidRPr="00000000" w14:paraId="0000002A">
            <w:pPr>
              <w:rPr>
                <w:sz w:val="20"/>
                <w:szCs w:val="20"/>
              </w:rPr>
            </w:pPr>
            <w:r w:rsidDel="00000000" w:rsidR="00000000" w:rsidRPr="00000000">
              <w:rPr>
                <w:rFonts w:ascii="Arial" w:cs="Arial" w:eastAsia="Arial" w:hAnsi="Arial"/>
                <w:sz w:val="20"/>
                <w:szCs w:val="20"/>
                <w:rtl w:val="0"/>
              </w:rPr>
              <w:t xml:space="preserve">4. Know how to respond to incidents and emergencies in a health, social care or child care environment</w:t>
            </w:r>
            <w:r w:rsidDel="00000000" w:rsidR="00000000" w:rsidRPr="00000000">
              <w:rPr>
                <w:rtl w:val="0"/>
              </w:rPr>
            </w:r>
          </w:p>
        </w:tc>
        <w:tc>
          <w:tcPr>
            <w:gridSpan w:val="3"/>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reading to support Home Learning: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Cambridge TECHNICALS Level 3 Book Adams, Riley et al.2021</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Google Classroom to be used.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Recommended places to visit with your family: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22223"/>
                <w:sz w:val="20"/>
                <w:szCs w:val="20"/>
                <w:u w:val="none"/>
                <w:shd w:fill="auto" w:val="clear"/>
                <w:vertAlign w:val="baseline"/>
              </w:rPr>
            </w:pPr>
            <w:r w:rsidDel="00000000" w:rsidR="00000000" w:rsidRPr="00000000">
              <w:rPr>
                <w:rFonts w:ascii="Arial" w:cs="Arial" w:eastAsia="Arial" w:hAnsi="Arial"/>
                <w:b w:val="0"/>
                <w:i w:val="0"/>
                <w:smallCaps w:val="0"/>
                <w:strike w:val="0"/>
                <w:color w:val="222223"/>
                <w:sz w:val="20"/>
                <w:szCs w:val="20"/>
                <w:u w:val="none"/>
                <w:shd w:fill="auto" w:val="clear"/>
                <w:vertAlign w:val="baseline"/>
                <w:rtl w:val="0"/>
              </w:rPr>
              <w:t xml:space="preserve">The Royal College of Surgeons of England</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3"/>
                <w:sz w:val="20"/>
                <w:szCs w:val="20"/>
              </w:rPr>
            </w:pP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https://www.rcseng.ac.uk/</w:t>
              </w:r>
            </w:hyperlink>
            <w:r w:rsidDel="00000000" w:rsidR="00000000" w:rsidRPr="00000000">
              <w:rPr>
                <w:rFonts w:ascii="Arial" w:cs="Arial" w:eastAsia="Arial" w:hAnsi="Arial"/>
                <w:b w:val="0"/>
                <w:i w:val="0"/>
                <w:smallCaps w:val="0"/>
                <w:strike w:val="0"/>
                <w:color w:val="22222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3"/>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color w:val="222223"/>
                <w:sz w:val="20"/>
                <w:szCs w:val="20"/>
                <w:rtl w:val="0"/>
              </w:rPr>
              <w:t xml:space="preserve">Volunteering -</w:t>
            </w:r>
            <w:hyperlink r:id="rId9">
              <w:r w:rsidDel="00000000" w:rsidR="00000000" w:rsidRPr="00000000">
                <w:rPr>
                  <w:rFonts w:ascii="Arial" w:cs="Arial" w:eastAsia="Arial" w:hAnsi="Arial"/>
                  <w:color w:val="222223"/>
                  <w:sz w:val="20"/>
                  <w:szCs w:val="20"/>
                  <w:rtl w:val="0"/>
                </w:rPr>
                <w:t xml:space="preserve"> </w:t>
              </w:r>
            </w:hyperlink>
            <w:hyperlink r:id="rId10">
              <w:r w:rsidDel="00000000" w:rsidR="00000000" w:rsidRPr="00000000">
                <w:rPr>
                  <w:rFonts w:ascii="Arial" w:cs="Arial" w:eastAsia="Arial" w:hAnsi="Arial"/>
                  <w:color w:val="1155cc"/>
                  <w:sz w:val="20"/>
                  <w:szCs w:val="20"/>
                  <w:u w:val="single"/>
                  <w:rtl w:val="0"/>
                </w:rPr>
                <w:t xml:space="preserve">https://www.uclh.nhs.uk/work-with-us/volunteering</w:t>
              </w:r>
            </w:hyperlink>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tbl>
      <w:tblPr>
        <w:tblStyle w:val="Table2"/>
        <w:tblW w:w="10175.0" w:type="dxa"/>
        <w:jc w:val="lef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175"/>
        <w:tblGridChange w:id="0">
          <w:tblGrid>
            <w:gridCol w:w="10175"/>
          </w:tblGrid>
        </w:tblGridChange>
      </w:tblGrid>
      <w:tr>
        <w:trPr>
          <w:cantSplit w:val="0"/>
          <w:trHeight w:val="550" w:hRule="atLeast"/>
          <w:tblHeader w:val="0"/>
        </w:trPr>
        <w:tc>
          <w:tcPr/>
          <w:p w:rsidR="00000000" w:rsidDel="00000000" w:rsidP="00000000" w:rsidRDefault="00000000" w:rsidRPr="00000000" w14:paraId="00000038">
            <w:pPr>
              <w:rPr/>
            </w:pPr>
            <w:r w:rsidDel="00000000" w:rsidR="00000000" w:rsidRPr="00000000">
              <w:rPr>
                <w:b w:val="1"/>
                <w:sz w:val="32"/>
                <w:szCs w:val="32"/>
                <w:rtl w:val="0"/>
              </w:rPr>
              <w:t xml:space="preserve">Success criteria</w:t>
            </w:r>
            <w:r w:rsidDel="00000000" w:rsidR="00000000" w:rsidRPr="00000000">
              <w:rPr>
                <w:rtl w:val="0"/>
              </w:rPr>
              <w:t xml:space="preserve"> – Have you met them? Show your </w:t>
            </w:r>
            <w:r w:rsidDel="00000000" w:rsidR="00000000" w:rsidRPr="00000000">
              <w:rPr>
                <w:u w:val="single"/>
                <w:rtl w:val="0"/>
              </w:rPr>
              <w:t xml:space="preserve">evidence</w:t>
            </w:r>
            <w:r w:rsidDel="00000000" w:rsidR="00000000" w:rsidRPr="00000000">
              <w:rPr>
                <w:rtl w:val="0"/>
              </w:rPr>
              <w:t xml:space="preserve"> in the boxes below.</w:t>
            </w:r>
          </w:p>
        </w:tc>
      </w:tr>
      <w:tr>
        <w:trPr>
          <w:cantSplit w:val="0"/>
          <w:trHeight w:val="1651" w:hRule="atLeast"/>
          <w:tblHeader w:val="0"/>
        </w:trPr>
        <w:tc>
          <w:tcPr/>
          <w:p w:rsidR="00000000" w:rsidDel="00000000" w:rsidP="00000000" w:rsidRDefault="00000000" w:rsidRPr="00000000" w14:paraId="00000039">
            <w:pPr>
              <w:rPr>
                <w:b w:val="1"/>
                <w:sz w:val="36"/>
                <w:szCs w:val="36"/>
              </w:rPr>
            </w:pPr>
            <w:r w:rsidDel="00000000" w:rsidR="00000000" w:rsidRPr="00000000">
              <w:rPr>
                <w:b w:val="1"/>
                <w:sz w:val="36"/>
                <w:szCs w:val="36"/>
                <w:rtl w:val="0"/>
              </w:rPr>
              <w:t xml:space="preserve">1.</w:t>
            </w:r>
          </w:p>
          <w:p w:rsidR="00000000" w:rsidDel="00000000" w:rsidP="00000000" w:rsidRDefault="00000000" w:rsidRPr="00000000" w14:paraId="0000003A">
            <w:pPr>
              <w:rPr>
                <w:b w:val="1"/>
              </w:rPr>
            </w:pPr>
            <w:r w:rsidDel="00000000" w:rsidR="00000000" w:rsidRPr="00000000">
              <w:rPr>
                <w:rtl w:val="0"/>
              </w:rPr>
            </w:r>
          </w:p>
        </w:tc>
      </w:tr>
      <w:tr>
        <w:trPr>
          <w:cantSplit w:val="0"/>
          <w:trHeight w:val="1619" w:hRule="atLeast"/>
          <w:tblHeader w:val="0"/>
        </w:trPr>
        <w:tc>
          <w:tcPr/>
          <w:p w:rsidR="00000000" w:rsidDel="00000000" w:rsidP="00000000" w:rsidRDefault="00000000" w:rsidRPr="00000000" w14:paraId="0000003B">
            <w:pPr>
              <w:rPr>
                <w:b w:val="1"/>
                <w:sz w:val="36"/>
                <w:szCs w:val="36"/>
              </w:rPr>
            </w:pPr>
            <w:r w:rsidDel="00000000" w:rsidR="00000000" w:rsidRPr="00000000">
              <w:rPr>
                <w:b w:val="1"/>
                <w:sz w:val="36"/>
                <w:szCs w:val="36"/>
                <w:rtl w:val="0"/>
              </w:rPr>
              <w:t xml:space="preserve">2.</w:t>
            </w:r>
          </w:p>
          <w:p w:rsidR="00000000" w:rsidDel="00000000" w:rsidP="00000000" w:rsidRDefault="00000000" w:rsidRPr="00000000" w14:paraId="0000003C">
            <w:pPr>
              <w:rPr>
                <w:b w:val="1"/>
              </w:rPr>
            </w:pPr>
            <w:r w:rsidDel="00000000" w:rsidR="00000000" w:rsidRPr="00000000">
              <w:rPr>
                <w:rtl w:val="0"/>
              </w:rPr>
            </w:r>
          </w:p>
        </w:tc>
      </w:tr>
      <w:tr>
        <w:trPr>
          <w:cantSplit w:val="0"/>
          <w:trHeight w:val="1768" w:hRule="atLeast"/>
          <w:tblHeader w:val="0"/>
        </w:trPr>
        <w:tc>
          <w:tcPr/>
          <w:p w:rsidR="00000000" w:rsidDel="00000000" w:rsidP="00000000" w:rsidRDefault="00000000" w:rsidRPr="00000000" w14:paraId="0000003D">
            <w:pPr>
              <w:rPr>
                <w:b w:val="1"/>
                <w:sz w:val="36"/>
                <w:szCs w:val="36"/>
              </w:rPr>
            </w:pPr>
            <w:r w:rsidDel="00000000" w:rsidR="00000000" w:rsidRPr="00000000">
              <w:rPr>
                <w:b w:val="1"/>
                <w:sz w:val="36"/>
                <w:szCs w:val="36"/>
                <w:rtl w:val="0"/>
              </w:rPr>
              <w:t xml:space="preserve">3.</w:t>
            </w:r>
          </w:p>
          <w:p w:rsidR="00000000" w:rsidDel="00000000" w:rsidP="00000000" w:rsidRDefault="00000000" w:rsidRPr="00000000" w14:paraId="0000003E">
            <w:pPr>
              <w:rPr>
                <w:b w:val="1"/>
              </w:rPr>
            </w:pPr>
            <w:r w:rsidDel="00000000" w:rsidR="00000000" w:rsidRPr="00000000">
              <w:rPr>
                <w:rtl w:val="0"/>
              </w:rPr>
            </w:r>
          </w:p>
        </w:tc>
      </w:tr>
      <w:tr>
        <w:trPr>
          <w:cantSplit w:val="0"/>
          <w:trHeight w:val="1766" w:hRule="atLeast"/>
          <w:tblHeader w:val="0"/>
        </w:trPr>
        <w:tc>
          <w:tcPr/>
          <w:p w:rsidR="00000000" w:rsidDel="00000000" w:rsidP="00000000" w:rsidRDefault="00000000" w:rsidRPr="00000000" w14:paraId="0000003F">
            <w:pPr>
              <w:rPr>
                <w:b w:val="1"/>
              </w:rPr>
            </w:pPr>
            <w:r w:rsidDel="00000000" w:rsidR="00000000" w:rsidRPr="00000000">
              <w:rPr>
                <w:b w:val="1"/>
                <w:sz w:val="36"/>
                <w:szCs w:val="36"/>
                <w:rtl w:val="0"/>
              </w:rPr>
              <w:t xml:space="preserve">4.</w:t>
            </w:r>
            <w:r w:rsidDel="00000000" w:rsidR="00000000" w:rsidRPr="00000000">
              <w:rPr>
                <w:rtl w:val="0"/>
              </w:rPr>
            </w:r>
          </w:p>
        </w:tc>
      </w:tr>
      <w:tr>
        <w:trPr>
          <w:cantSplit w:val="0"/>
          <w:trHeight w:val="1903" w:hRule="atLeast"/>
          <w:tblHeader w:val="0"/>
        </w:trPr>
        <w:tc>
          <w:tcPr/>
          <w:p w:rsidR="00000000" w:rsidDel="00000000" w:rsidP="00000000" w:rsidRDefault="00000000" w:rsidRPr="00000000" w14:paraId="00000040">
            <w:pPr>
              <w:rPr>
                <w:b w:val="1"/>
              </w:rPr>
            </w:pPr>
            <w:r w:rsidDel="00000000" w:rsidR="00000000" w:rsidRPr="00000000">
              <w:rPr>
                <w:b w:val="1"/>
                <w:sz w:val="36"/>
                <w:szCs w:val="36"/>
                <w:rtl w:val="0"/>
              </w:rPr>
              <w:t xml:space="preserve">5.</w:t>
            </w:r>
            <w:r w:rsidDel="00000000" w:rsidR="00000000" w:rsidRPr="00000000">
              <w:rPr>
                <w:rtl w:val="0"/>
              </w:rPr>
            </w:r>
          </w:p>
        </w:tc>
      </w:tr>
      <w:tr>
        <w:trPr>
          <w:cantSplit w:val="0"/>
          <w:trHeight w:val="1624" w:hRule="atLeast"/>
          <w:tblHeader w:val="0"/>
        </w:trPr>
        <w:tc>
          <w:tcPr/>
          <w:p w:rsidR="00000000" w:rsidDel="00000000" w:rsidP="00000000" w:rsidRDefault="00000000" w:rsidRPr="00000000" w14:paraId="00000041">
            <w:pPr>
              <w:rPr>
                <w:b w:val="1"/>
                <w:sz w:val="36"/>
                <w:szCs w:val="36"/>
              </w:rPr>
            </w:pPr>
            <w:r w:rsidDel="00000000" w:rsidR="00000000" w:rsidRPr="00000000">
              <w:rPr>
                <w:b w:val="1"/>
                <w:sz w:val="36"/>
                <w:szCs w:val="36"/>
                <w:rtl w:val="0"/>
              </w:rPr>
              <w:t xml:space="preserve">6.</w:t>
            </w:r>
          </w:p>
        </w:tc>
      </w:tr>
      <w:tr>
        <w:trPr>
          <w:cantSplit w:val="0"/>
          <w:trHeight w:val="937" w:hRule="atLeast"/>
          <w:tblHeader w:val="0"/>
        </w:trPr>
        <w:tc>
          <w:tcPr/>
          <w:p w:rsidR="00000000" w:rsidDel="00000000" w:rsidP="00000000" w:rsidRDefault="00000000" w:rsidRPr="00000000" w14:paraId="00000042">
            <w:pPr>
              <w:rPr>
                <w:b w:val="1"/>
                <w:sz w:val="24"/>
                <w:szCs w:val="24"/>
              </w:rPr>
            </w:pPr>
            <w:r w:rsidDel="00000000" w:rsidR="00000000" w:rsidRPr="00000000">
              <w:rPr>
                <w:b w:val="1"/>
                <w:sz w:val="24"/>
                <w:szCs w:val="24"/>
                <w:rtl w:val="0"/>
              </w:rPr>
              <w:t xml:space="preserve">How will you improve your work?</w:t>
            </w:r>
          </w:p>
          <w:p w:rsidR="00000000" w:rsidDel="00000000" w:rsidP="00000000" w:rsidRDefault="00000000" w:rsidRPr="00000000" w14:paraId="00000043">
            <w:pPr>
              <w:rPr>
                <w:b w:val="1"/>
                <w:sz w:val="36"/>
                <w:szCs w:val="36"/>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2600325" cy="304800"/>
                <wp:effectExtent b="0" l="0" r="0" t="0"/>
                <wp:wrapNone/>
                <wp:docPr id="5" name=""/>
                <a:graphic>
                  <a:graphicData uri="http://schemas.microsoft.com/office/word/2010/wordprocessingShape">
                    <wps:wsp>
                      <wps:cNvSpPr/>
                      <wps:cNvPr id="3" name="Shape 3"/>
                      <wps:spPr>
                        <a:xfrm>
                          <a:off x="4050600" y="3632363"/>
                          <a:ext cx="2590800" cy="295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End of Unit EVALUATION</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wp:posOffset>
                </wp:positionV>
                <wp:extent cx="2600325" cy="304800"/>
                <wp:effectExtent b="0" l="0" r="0" t="0"/>
                <wp:wrapNone/>
                <wp:docPr id="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600325" cy="304800"/>
                        </a:xfrm>
                        <a:prstGeom prst="rect"/>
                        <a:ln/>
                      </pic:spPr>
                    </pic:pic>
                  </a:graphicData>
                </a:graphic>
              </wp:anchor>
            </w:drawing>
          </mc:Fallback>
        </mc:AlternateContent>
      </w:r>
    </w:p>
    <w:sectPr>
      <w:headerReference r:id="rId12"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62025" cy="47625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2025"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Professionalism. Inclusion. Pedagogy. Curriculum.</w:t>
    </w:r>
  </w:p>
  <w:p w:rsidR="00000000" w:rsidDel="00000000" w:rsidP="00000000" w:rsidRDefault="00000000" w:rsidRPr="00000000" w14:paraId="00000047">
    <w:pPr>
      <w:tabs>
        <w:tab w:val="center" w:pos="4513"/>
        <w:tab w:val="right" w:pos="9026"/>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 professional. Be inclusive. Be a learner. Be knowledgeable.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84E57"/>
    <w:pPr>
      <w:tabs>
        <w:tab w:val="center" w:pos="4513"/>
        <w:tab w:val="right" w:pos="9026"/>
      </w:tabs>
    </w:pPr>
  </w:style>
  <w:style w:type="character" w:styleId="HeaderChar" w:customStyle="1">
    <w:name w:val="Header Char"/>
    <w:link w:val="Header"/>
    <w:uiPriority w:val="99"/>
    <w:rsid w:val="00984E57"/>
    <w:rPr>
      <w:sz w:val="22"/>
      <w:szCs w:val="22"/>
      <w:lang w:eastAsia="en-US"/>
    </w:rPr>
  </w:style>
  <w:style w:type="paragraph" w:styleId="Footer">
    <w:name w:val="footer"/>
    <w:basedOn w:val="Normal"/>
    <w:link w:val="FooterChar"/>
    <w:uiPriority w:val="99"/>
    <w:unhideWhenUsed w:val="1"/>
    <w:rsid w:val="00984E57"/>
    <w:pPr>
      <w:tabs>
        <w:tab w:val="center" w:pos="4513"/>
        <w:tab w:val="right" w:pos="9026"/>
      </w:tabs>
    </w:pPr>
  </w:style>
  <w:style w:type="character" w:styleId="FooterChar" w:customStyle="1">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val="1"/>
    <w:unhideWhenUsed w:val="1"/>
    <w:rsid w:val="00984E57"/>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984E57"/>
    <w:rPr>
      <w:rFonts w:ascii="Tahoma" w:cs="Tahoma" w:hAnsi="Tahoma"/>
      <w:sz w:val="16"/>
      <w:szCs w:val="16"/>
      <w:lang w:eastAsia="en-US"/>
    </w:rPr>
  </w:style>
  <w:style w:type="table" w:styleId="TableGrid">
    <w:name w:val="Table Grid"/>
    <w:basedOn w:val="TableNormal"/>
    <w:uiPriority w:val="59"/>
    <w:rsid w:val="00984E5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A52077"/>
    <w:rPr>
      <w:sz w:val="22"/>
      <w:szCs w:val="22"/>
      <w:lang w:eastAsia="en-US"/>
    </w:rPr>
  </w:style>
  <w:style w:type="paragraph" w:styleId="ListParagraph">
    <w:name w:val="List Paragraph"/>
    <w:basedOn w:val="Normal"/>
    <w:uiPriority w:val="34"/>
    <w:qFormat w:val="1"/>
    <w:rsid w:val="00216BCA"/>
    <w:pPr>
      <w:ind w:left="720"/>
      <w:contextualSpacing w:val="1"/>
    </w:pPr>
  </w:style>
  <w:style w:type="character" w:styleId="Hyperlink">
    <w:name w:val="Hyperlink"/>
    <w:uiPriority w:val="99"/>
    <w:unhideWhenUsed w:val="1"/>
    <w:rsid w:val="00D00313"/>
    <w:rPr>
      <w:color w:val="0000ff"/>
      <w:u w:val="single"/>
    </w:rPr>
  </w:style>
  <w:style w:type="character" w:styleId="UnresolvedMention">
    <w:name w:val="Unresolved Mention"/>
    <w:basedOn w:val="DefaultParagraphFont"/>
    <w:uiPriority w:val="99"/>
    <w:semiHidden w:val="1"/>
    <w:unhideWhenUsed w:val="1"/>
    <w:rsid w:val="007F49A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uclh.nhs.uk/work-with-us/volunteering" TargetMode="External"/><Relationship Id="rId12" Type="http://schemas.openxmlformats.org/officeDocument/2006/relationships/header" Target="header1.xml"/><Relationship Id="rId9" Type="http://schemas.openxmlformats.org/officeDocument/2006/relationships/hyperlink" Target="https://www.uclh.nhs.uk/work-with-us/voluntee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rcseng.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VUla/U1BceDxsM9e+tH8IbqSg==">AMUW2mWg6HVnogSiiMUfWJCRpIX5jA1fAFhDACywuTbh0Crp2bJw8ART3mQpoEVkG7pvcqUnO4qJVjy8v+4PirwQwsm96KwgkNlJGtC66p8ysHNVLxDq+lsINBY+4B6alEYRyJa40hG2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2020-09-03T07:52:00Z</dcterms:created>
  <dc:creator>Nicholas Langham</dc:creator>
</cp:coreProperties>
</file>