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EA5" w:rsidRDefault="002E26B6">
      <w:r>
        <w:rPr>
          <w:noProof/>
        </w:rPr>
        <mc:AlternateContent>
          <mc:Choice Requires="wps">
            <w:drawing>
              <wp:anchor distT="0" distB="0" distL="114300" distR="114300" simplePos="0" relativeHeight="251658240" behindDoc="0" locked="0" layoutInCell="1" hidden="0" allowOverlap="1">
                <wp:simplePos x="0" y="0"/>
                <wp:positionH relativeFrom="column">
                  <wp:posOffset>38816</wp:posOffset>
                </wp:positionH>
                <wp:positionV relativeFrom="paragraph">
                  <wp:posOffset>-62487</wp:posOffset>
                </wp:positionV>
                <wp:extent cx="6665400" cy="564204"/>
                <wp:effectExtent l="0" t="0" r="21590" b="26670"/>
                <wp:wrapNone/>
                <wp:docPr id="4" name="Rectangle 4"/>
                <wp:cNvGraphicFramePr/>
                <a:graphic xmlns:a="http://schemas.openxmlformats.org/drawingml/2006/main">
                  <a:graphicData uri="http://schemas.microsoft.com/office/word/2010/wordprocessingShape">
                    <wps:wsp>
                      <wps:cNvSpPr/>
                      <wps:spPr>
                        <a:xfrm>
                          <a:off x="0" y="0"/>
                          <a:ext cx="6665400" cy="564204"/>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EA5" w:rsidRDefault="002E26B6">
                            <w:pPr>
                              <w:spacing w:after="0" w:line="240" w:lineRule="auto"/>
                              <w:jc w:val="center"/>
                              <w:textDirection w:val="btLr"/>
                            </w:pPr>
                            <w:r>
                              <w:rPr>
                                <w:rFonts w:ascii="Arial" w:eastAsia="Arial" w:hAnsi="Arial" w:cs="Arial"/>
                                <w:b/>
                                <w:color w:val="000000"/>
                                <w:sz w:val="28"/>
                              </w:rPr>
                              <w:t>UNIT OVERVIEW:</w:t>
                            </w:r>
                            <w:r>
                              <w:rPr>
                                <w:rFonts w:ascii="Arial" w:eastAsia="Arial" w:hAnsi="Arial" w:cs="Arial"/>
                                <w:color w:val="000000"/>
                                <w:sz w:val="28"/>
                              </w:rPr>
                              <w:t xml:space="preserve"> </w:t>
                            </w:r>
                            <w:r w:rsidR="002635DC" w:rsidRPr="002635DC">
                              <w:rPr>
                                <w:rFonts w:ascii="Arial" w:eastAsia="Arial" w:hAnsi="Arial" w:cs="Arial"/>
                                <w:color w:val="000000"/>
                                <w:sz w:val="28"/>
                                <w:szCs w:val="28"/>
                              </w:rPr>
                              <w:t xml:space="preserve">Unit 2 - </w:t>
                            </w:r>
                            <w:r w:rsidR="002635DC" w:rsidRPr="002635DC">
                              <w:rPr>
                                <w:rFonts w:ascii="Arial" w:hAnsi="Arial" w:cs="Arial"/>
                                <w:sz w:val="28"/>
                                <w:szCs w:val="28"/>
                              </w:rPr>
                              <w:t>Equality, diversity and rights in health and social care</w:t>
                            </w:r>
                          </w:p>
                          <w:p w:rsidR="006A2EA5" w:rsidRDefault="002E26B6">
                            <w:pPr>
                              <w:spacing w:after="0" w:line="240" w:lineRule="auto"/>
                              <w:jc w:val="center"/>
                              <w:textDirection w:val="btLr"/>
                            </w:pPr>
                            <w:r>
                              <w:rPr>
                                <w:rFonts w:ascii="Arial" w:eastAsia="Arial" w:hAnsi="Arial" w:cs="Arial"/>
                                <w:b/>
                                <w:color w:val="000000"/>
                                <w:sz w:val="28"/>
                              </w:rPr>
                              <w:t xml:space="preserve">ENQUIRY: </w:t>
                            </w:r>
                            <w:r w:rsidR="002635DC">
                              <w:rPr>
                                <w:rFonts w:ascii="Arial" w:eastAsia="Arial" w:hAnsi="Arial" w:cs="Arial"/>
                                <w:b/>
                                <w:color w:val="000000"/>
                                <w:sz w:val="28"/>
                              </w:rPr>
                              <w:t>What rights do we have as people</w:t>
                            </w:r>
                            <w:r>
                              <w:rPr>
                                <w:rFonts w:ascii="Arial" w:eastAsia="Arial" w:hAnsi="Arial" w:cs="Arial"/>
                                <w:b/>
                                <w:color w:val="000000"/>
                                <w:sz w:val="28"/>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3.05pt;margin-top:-4.9pt;width:524.85pt;height:4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">
                <v:stroke startarrowwidth="narrow" startarrowlength="short" endarrowwidth="narrow" endarrowlength="short"/>
                <v:textbox inset="2.53958mm,1.2694mm,2.53958mm,1.2694mm">
                  <w:txbxContent>
                    <w:p w:rsidR="006A2EA5" w:rsidRDefault="002E26B6">
                      <w:pPr>
                        <w:spacing w:after="0" w:line="240" w:lineRule="auto"/>
                        <w:jc w:val="center"/>
                        <w:textDirection w:val="btLr"/>
                      </w:pPr>
                      <w:r>
                        <w:rPr>
                          <w:rFonts w:ascii="Arial" w:eastAsia="Arial" w:hAnsi="Arial" w:cs="Arial"/>
                          <w:b/>
                          <w:color w:val="000000"/>
                          <w:sz w:val="28"/>
                        </w:rPr>
                        <w:t>UNIT OVERVIEW:</w:t>
                      </w:r>
                      <w:r>
                        <w:rPr>
                          <w:rFonts w:ascii="Arial" w:eastAsia="Arial" w:hAnsi="Arial" w:cs="Arial"/>
                          <w:color w:val="000000"/>
                          <w:sz w:val="28"/>
                        </w:rPr>
                        <w:t xml:space="preserve"> </w:t>
                      </w:r>
                      <w:r w:rsidR="002635DC" w:rsidRPr="002635DC">
                        <w:rPr>
                          <w:rFonts w:ascii="Arial" w:eastAsia="Arial" w:hAnsi="Arial" w:cs="Arial"/>
                          <w:color w:val="000000"/>
                          <w:sz w:val="28"/>
                          <w:szCs w:val="28"/>
                        </w:rPr>
                        <w:t xml:space="preserve">Unit 2 - </w:t>
                      </w:r>
                      <w:r w:rsidR="002635DC" w:rsidRPr="002635DC">
                        <w:rPr>
                          <w:rFonts w:ascii="Arial" w:hAnsi="Arial" w:cs="Arial"/>
                          <w:sz w:val="28"/>
                          <w:szCs w:val="28"/>
                        </w:rPr>
                        <w:t>Equality, diversity and rights in health and social care</w:t>
                      </w:r>
                    </w:p>
                    <w:p w:rsidR="006A2EA5" w:rsidRDefault="002E26B6">
                      <w:pPr>
                        <w:spacing w:after="0" w:line="240" w:lineRule="auto"/>
                        <w:jc w:val="center"/>
                        <w:textDirection w:val="btLr"/>
                      </w:pPr>
                      <w:r>
                        <w:rPr>
                          <w:rFonts w:ascii="Arial" w:eastAsia="Arial" w:hAnsi="Arial" w:cs="Arial"/>
                          <w:b/>
                          <w:color w:val="000000"/>
                          <w:sz w:val="28"/>
                        </w:rPr>
                        <w:t xml:space="preserve">ENQUIRY: </w:t>
                      </w:r>
                      <w:r w:rsidR="002635DC">
                        <w:rPr>
                          <w:rFonts w:ascii="Arial" w:eastAsia="Arial" w:hAnsi="Arial" w:cs="Arial"/>
                          <w:b/>
                          <w:color w:val="000000"/>
                          <w:sz w:val="28"/>
                        </w:rPr>
                        <w:t>What rights do we have as people</w:t>
                      </w:r>
                      <w:r>
                        <w:rPr>
                          <w:rFonts w:ascii="Arial" w:eastAsia="Arial" w:hAnsi="Arial" w:cs="Arial"/>
                          <w:b/>
                          <w:color w:val="000000"/>
                          <w:sz w:val="28"/>
                        </w:rPr>
                        <w:t>?</w:t>
                      </w:r>
                    </w:p>
                  </w:txbxContent>
                </v:textbox>
              </v:rect>
            </w:pict>
          </mc:Fallback>
        </mc:AlternateContent>
      </w:r>
    </w:p>
    <w:p w:rsidR="006A2EA5" w:rsidRDefault="006A2EA5"/>
    <w:tbl>
      <w:tblPr>
        <w:tblStyle w:val="a"/>
        <w:tblW w:w="104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5155"/>
        <w:gridCol w:w="3352"/>
        <w:gridCol w:w="988"/>
        <w:gridCol w:w="925"/>
      </w:tblGrid>
      <w:tr w:rsidR="006A2EA5">
        <w:tc>
          <w:tcPr>
            <w:tcW w:w="10420" w:type="dxa"/>
            <w:gridSpan w:val="4"/>
          </w:tcPr>
          <w:p w:rsidR="006A2EA5" w:rsidRDefault="002E26B6">
            <w:pPr>
              <w:pBdr>
                <w:top w:val="nil"/>
                <w:left w:val="nil"/>
                <w:bottom w:val="nil"/>
                <w:right w:val="nil"/>
                <w:between w:val="nil"/>
              </w:pBdr>
              <w:spacing w:after="0" w:line="240" w:lineRule="auto"/>
              <w:rPr>
                <w:color w:val="000000"/>
              </w:rPr>
            </w:pPr>
            <w:r>
              <w:rPr>
                <w:rFonts w:ascii="Arial" w:eastAsia="Arial" w:hAnsi="Arial" w:cs="Arial"/>
                <w:b/>
                <w:color w:val="000000"/>
                <w:sz w:val="24"/>
                <w:szCs w:val="24"/>
              </w:rPr>
              <w:t xml:space="preserve">Unit intention: </w:t>
            </w:r>
          </w:p>
          <w:p w:rsidR="006A2EA5" w:rsidRDefault="002635DC">
            <w:pPr>
              <w:pBdr>
                <w:top w:val="nil"/>
                <w:left w:val="nil"/>
                <w:bottom w:val="nil"/>
                <w:right w:val="nil"/>
                <w:between w:val="nil"/>
              </w:pBdr>
              <w:spacing w:after="0" w:line="240" w:lineRule="auto"/>
              <w:rPr>
                <w:color w:val="000000"/>
              </w:rPr>
            </w:pPr>
            <w:bookmarkStart w:id="0" w:name="_heading=h.gjdgxs" w:colFirst="0" w:colLast="0"/>
            <w:bookmarkEnd w:id="0"/>
            <w:r>
              <w:t xml:space="preserve">Promoting equality and respecting diversity and rights in health, social care and child care environments is essential in today’s very diverse society. Whatever role you have, or aspire to, in health, social care or child care, an effective practitioner must be able to provide care that meets the needs of individuals and that supports their rights. </w:t>
            </w:r>
          </w:p>
        </w:tc>
      </w:tr>
      <w:tr w:rsidR="006A2EA5">
        <w:trPr>
          <w:trHeight w:val="592"/>
        </w:trPr>
        <w:tc>
          <w:tcPr>
            <w:tcW w:w="8507" w:type="dxa"/>
            <w:gridSpan w:val="2"/>
          </w:tcPr>
          <w:p w:rsidR="006A2EA5" w:rsidRDefault="002E26B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Success criteria</w:t>
            </w:r>
          </w:p>
        </w:tc>
        <w:tc>
          <w:tcPr>
            <w:tcW w:w="988" w:type="dxa"/>
          </w:tcPr>
          <w:p w:rsidR="006A2EA5" w:rsidRDefault="002E26B6">
            <w:pPr>
              <w:pBdr>
                <w:top w:val="nil"/>
                <w:left w:val="nil"/>
                <w:bottom w:val="nil"/>
                <w:right w:val="nil"/>
                <w:between w:val="nil"/>
              </w:pBdr>
              <w:spacing w:after="0" w:line="240" w:lineRule="auto"/>
              <w:rPr>
                <w:color w:val="000000"/>
              </w:rPr>
            </w:pPr>
            <w:r>
              <w:rPr>
                <w:rFonts w:ascii="Wingdings 2" w:eastAsia="Wingdings 2" w:hAnsi="Wingdings 2" w:cs="Wingdings 2"/>
                <w:color w:val="000000"/>
                <w:sz w:val="44"/>
                <w:szCs w:val="44"/>
              </w:rPr>
              <w:t>✓</w:t>
            </w:r>
          </w:p>
        </w:tc>
        <w:tc>
          <w:tcPr>
            <w:tcW w:w="925" w:type="dxa"/>
          </w:tcPr>
          <w:p w:rsidR="006A2EA5" w:rsidRDefault="002E26B6">
            <w:pPr>
              <w:pBdr>
                <w:top w:val="nil"/>
                <w:left w:val="nil"/>
                <w:bottom w:val="nil"/>
                <w:right w:val="nil"/>
                <w:between w:val="nil"/>
              </w:pBdr>
              <w:spacing w:after="0" w:line="240" w:lineRule="auto"/>
              <w:rPr>
                <w:color w:val="000000"/>
              </w:rPr>
            </w:pPr>
            <w:r>
              <w:rPr>
                <w:color w:val="000000"/>
                <w:sz w:val="36"/>
                <w:szCs w:val="36"/>
              </w:rPr>
              <w:t>X</w:t>
            </w:r>
          </w:p>
        </w:tc>
      </w:tr>
      <w:tr w:rsidR="006A2EA5">
        <w:trPr>
          <w:trHeight w:val="2929"/>
        </w:trPr>
        <w:tc>
          <w:tcPr>
            <w:tcW w:w="8507" w:type="dxa"/>
            <w:gridSpan w:val="2"/>
          </w:tcPr>
          <w:p w:rsidR="003D6A59" w:rsidRDefault="003D6A59" w:rsidP="003D6A59">
            <w:pPr>
              <w:pStyle w:val="ListParagraph"/>
              <w:numPr>
                <w:ilvl w:val="0"/>
                <w:numId w:val="1"/>
              </w:numPr>
            </w:pPr>
            <w:r>
              <w:t>Understand concepts of equality, diversity and rights and how these are applied in the context of health, social care and child care environments</w:t>
            </w:r>
          </w:p>
          <w:p w:rsidR="003D6A59" w:rsidRPr="003D6A59" w:rsidRDefault="003D6A59" w:rsidP="003D6A59">
            <w:pPr>
              <w:pStyle w:val="ListParagraph"/>
              <w:numPr>
                <w:ilvl w:val="0"/>
                <w:numId w:val="1"/>
              </w:numPr>
              <w:rPr>
                <w:rFonts w:ascii="Arial" w:eastAsia="Arial" w:hAnsi="Arial" w:cs="Arial"/>
                <w:sz w:val="20"/>
                <w:szCs w:val="20"/>
              </w:rPr>
            </w:pPr>
            <w:r>
              <w:t>Understand the impact of discriminatory practices on individuals in health, social care and child care environment</w:t>
            </w:r>
            <w:r>
              <w:t>.</w:t>
            </w:r>
          </w:p>
          <w:p w:rsidR="003D6A59" w:rsidRPr="003D6A59" w:rsidRDefault="003D6A59" w:rsidP="003D6A59">
            <w:pPr>
              <w:pStyle w:val="ListParagraph"/>
              <w:numPr>
                <w:ilvl w:val="0"/>
                <w:numId w:val="1"/>
              </w:numPr>
              <w:rPr>
                <w:rFonts w:ascii="Arial" w:eastAsia="Arial" w:hAnsi="Arial" w:cs="Arial"/>
                <w:sz w:val="20"/>
                <w:szCs w:val="20"/>
              </w:rPr>
            </w:pPr>
            <w:r>
              <w:t>Understand how current legislation and national initiatives promote antidiscriminatory practice in health, social care and child care environments</w:t>
            </w:r>
          </w:p>
          <w:p w:rsidR="003D6A59" w:rsidRPr="003D6A59" w:rsidRDefault="003D6A59" w:rsidP="003D6A59">
            <w:pPr>
              <w:pStyle w:val="ListParagraph"/>
              <w:numPr>
                <w:ilvl w:val="0"/>
                <w:numId w:val="1"/>
              </w:numPr>
              <w:rPr>
                <w:rFonts w:ascii="Arial" w:eastAsia="Arial" w:hAnsi="Arial" w:cs="Arial"/>
                <w:sz w:val="20"/>
                <w:szCs w:val="20"/>
              </w:rPr>
            </w:pPr>
            <w:r>
              <w:t>Understand how equality, diversity and rights in health, social care and child care environments are promoted.</w:t>
            </w:r>
          </w:p>
        </w:tc>
        <w:tc>
          <w:tcPr>
            <w:tcW w:w="988" w:type="dxa"/>
          </w:tcPr>
          <w:p w:rsidR="006A2EA5" w:rsidRDefault="006A2EA5"/>
        </w:tc>
        <w:tc>
          <w:tcPr>
            <w:tcW w:w="925" w:type="dxa"/>
          </w:tcPr>
          <w:p w:rsidR="006A2EA5" w:rsidRDefault="006A2EA5"/>
        </w:tc>
      </w:tr>
      <w:tr w:rsidR="006A2EA5">
        <w:trPr>
          <w:trHeight w:val="1471"/>
        </w:trPr>
        <w:tc>
          <w:tcPr>
            <w:tcW w:w="10420" w:type="dxa"/>
            <w:gridSpan w:val="4"/>
          </w:tcPr>
          <w:p w:rsidR="006A2EA5" w:rsidRDefault="002E26B6">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Unit summative and formative assessment details:</w:t>
            </w:r>
          </w:p>
          <w:p w:rsidR="006A2EA5" w:rsidRDefault="006A2EA5">
            <w:pPr>
              <w:pBdr>
                <w:top w:val="nil"/>
                <w:left w:val="nil"/>
                <w:bottom w:val="nil"/>
                <w:right w:val="nil"/>
                <w:between w:val="nil"/>
              </w:pBdr>
              <w:spacing w:after="0" w:line="240" w:lineRule="auto"/>
              <w:rPr>
                <w:rFonts w:ascii="Arial" w:eastAsia="Arial" w:hAnsi="Arial" w:cs="Arial"/>
                <w:b/>
                <w:color w:val="000000"/>
                <w:sz w:val="24"/>
                <w:szCs w:val="24"/>
              </w:rPr>
            </w:pPr>
          </w:p>
          <w:p w:rsidR="006A2EA5" w:rsidRDefault="002E26B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Summative feedback (see PE policy)</w:t>
            </w:r>
          </w:p>
          <w:p w:rsidR="006A2EA5" w:rsidRDefault="002E26B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Questioning </w:t>
            </w:r>
          </w:p>
          <w:p w:rsidR="006A2EA5" w:rsidRDefault="002E26B6">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Teacher assessment</w:t>
            </w:r>
          </w:p>
          <w:p w:rsidR="006A2EA5" w:rsidRDefault="002E26B6">
            <w:pPr>
              <w:pBdr>
                <w:top w:val="nil"/>
                <w:left w:val="nil"/>
                <w:bottom w:val="nil"/>
                <w:right w:val="nil"/>
                <w:between w:val="nil"/>
              </w:pBdr>
              <w:spacing w:after="0" w:line="240" w:lineRule="auto"/>
              <w:rPr>
                <w:rFonts w:ascii="Arial" w:eastAsia="Arial" w:hAnsi="Arial" w:cs="Arial"/>
                <w:sz w:val="20"/>
                <w:szCs w:val="20"/>
              </w:rPr>
            </w:pPr>
            <w:r>
              <w:rPr>
                <w:rFonts w:ascii="Arial" w:eastAsia="Arial" w:hAnsi="Arial" w:cs="Arial"/>
                <w:sz w:val="20"/>
                <w:szCs w:val="20"/>
              </w:rPr>
              <w:t xml:space="preserve">This unit is externally assessed by an OCR set and marked examination. </w:t>
            </w:r>
          </w:p>
          <w:p w:rsidR="006A2EA5" w:rsidRDefault="006A2EA5">
            <w:pPr>
              <w:pBdr>
                <w:top w:val="nil"/>
                <w:left w:val="nil"/>
                <w:bottom w:val="nil"/>
                <w:right w:val="nil"/>
                <w:between w:val="nil"/>
              </w:pBdr>
              <w:spacing w:after="0" w:line="240" w:lineRule="auto"/>
              <w:rPr>
                <w:rFonts w:ascii="Arial" w:eastAsia="Arial" w:hAnsi="Arial" w:cs="Arial"/>
                <w:sz w:val="20"/>
                <w:szCs w:val="20"/>
              </w:rPr>
            </w:pPr>
          </w:p>
        </w:tc>
      </w:tr>
      <w:tr w:rsidR="006A2EA5">
        <w:trPr>
          <w:trHeight w:val="1387"/>
        </w:trPr>
        <w:tc>
          <w:tcPr>
            <w:tcW w:w="10420" w:type="dxa"/>
            <w:gridSpan w:val="4"/>
          </w:tcPr>
          <w:p w:rsidR="006A2EA5" w:rsidRDefault="002E26B6">
            <w:pPr>
              <w:rPr>
                <w:rFonts w:ascii="Arial" w:eastAsia="Arial" w:hAnsi="Arial" w:cs="Arial"/>
                <w:b/>
                <w:sz w:val="24"/>
                <w:szCs w:val="24"/>
              </w:rPr>
            </w:pPr>
            <w:r>
              <w:rPr>
                <w:rFonts w:ascii="Arial" w:eastAsia="Arial" w:hAnsi="Arial" w:cs="Arial"/>
                <w:b/>
                <w:sz w:val="24"/>
                <w:szCs w:val="24"/>
              </w:rPr>
              <w:t>Home Learning (What and how often):</w:t>
            </w:r>
          </w:p>
          <w:p w:rsidR="003D6A59" w:rsidRDefault="002E26B6">
            <w:r>
              <w:t xml:space="preserve">Students to be given homework at the </w:t>
            </w:r>
            <w:proofErr w:type="gramStart"/>
            <w:r>
              <w:t>teachers</w:t>
            </w:r>
            <w:proofErr w:type="gramEnd"/>
            <w:r>
              <w:t xml:space="preserve"> discretion to aid learning</w:t>
            </w:r>
          </w:p>
          <w:p w:rsidR="006A2EA5" w:rsidRDefault="002E26B6">
            <w:r>
              <w:t>Google Classroom to be used.</w:t>
            </w:r>
          </w:p>
          <w:p w:rsidR="006A2EA5" w:rsidRDefault="002E26B6">
            <w:pPr>
              <w:pBdr>
                <w:top w:val="nil"/>
                <w:left w:val="nil"/>
                <w:bottom w:val="nil"/>
                <w:right w:val="nil"/>
                <w:between w:val="nil"/>
              </w:pBdr>
              <w:spacing w:after="0" w:line="240" w:lineRule="auto"/>
              <w:rPr>
                <w:color w:val="000000"/>
              </w:rPr>
            </w:pPr>
            <w:r>
              <w:rPr>
                <w:color w:val="000000"/>
              </w:rPr>
              <w:t>Research tasks</w:t>
            </w:r>
          </w:p>
          <w:p w:rsidR="006A2EA5" w:rsidRDefault="006A2EA5">
            <w:pPr>
              <w:pBdr>
                <w:top w:val="nil"/>
                <w:left w:val="nil"/>
                <w:bottom w:val="nil"/>
                <w:right w:val="nil"/>
                <w:between w:val="nil"/>
              </w:pBdr>
              <w:spacing w:after="0" w:line="240" w:lineRule="auto"/>
              <w:rPr>
                <w:color w:val="000000"/>
              </w:rPr>
            </w:pPr>
          </w:p>
        </w:tc>
      </w:tr>
      <w:tr w:rsidR="006A2EA5">
        <w:trPr>
          <w:trHeight w:val="3873"/>
        </w:trPr>
        <w:tc>
          <w:tcPr>
            <w:tcW w:w="5155" w:type="dxa"/>
          </w:tcPr>
          <w:p w:rsidR="003D6A59" w:rsidRDefault="002E26B6" w:rsidP="003D6A59">
            <w:pPr>
              <w:pBdr>
                <w:top w:val="nil"/>
                <w:left w:val="nil"/>
                <w:bottom w:val="nil"/>
                <w:right w:val="nil"/>
                <w:between w:val="nil"/>
              </w:pBdr>
              <w:spacing w:after="0" w:line="240" w:lineRule="auto"/>
              <w:rPr>
                <w:b/>
                <w:sz w:val="32"/>
                <w:szCs w:val="32"/>
              </w:rPr>
            </w:pPr>
            <w:r>
              <w:rPr>
                <w:b/>
                <w:color w:val="000000"/>
                <w:sz w:val="32"/>
                <w:szCs w:val="32"/>
              </w:rPr>
              <w:lastRenderedPageBreak/>
              <w:t>Topic Sequence</w:t>
            </w:r>
          </w:p>
          <w:p w:rsidR="003D6A59" w:rsidRDefault="003D6A59" w:rsidP="003D6A59">
            <w:pPr>
              <w:pBdr>
                <w:top w:val="nil"/>
                <w:left w:val="nil"/>
                <w:bottom w:val="nil"/>
                <w:right w:val="nil"/>
                <w:between w:val="nil"/>
              </w:pBdr>
              <w:spacing w:after="0" w:line="240" w:lineRule="auto"/>
              <w:rPr>
                <w:b/>
                <w:sz w:val="32"/>
                <w:szCs w:val="32"/>
              </w:rPr>
            </w:pPr>
          </w:p>
          <w:p w:rsidR="003D6A59" w:rsidRPr="003D6A59" w:rsidRDefault="003D6A59" w:rsidP="003D6A59">
            <w:pPr>
              <w:pStyle w:val="ListParagraph"/>
              <w:numPr>
                <w:ilvl w:val="0"/>
                <w:numId w:val="2"/>
              </w:numPr>
              <w:pBdr>
                <w:top w:val="nil"/>
                <w:left w:val="nil"/>
                <w:bottom w:val="nil"/>
                <w:right w:val="nil"/>
                <w:between w:val="nil"/>
              </w:pBdr>
              <w:spacing w:after="0" w:line="240" w:lineRule="auto"/>
              <w:rPr>
                <w:sz w:val="24"/>
                <w:szCs w:val="32"/>
              </w:rPr>
            </w:pPr>
            <w:r w:rsidRPr="003D6A59">
              <w:rPr>
                <w:sz w:val="24"/>
                <w:szCs w:val="32"/>
              </w:rPr>
              <w:t>Understanding equality, diversity and rights.</w:t>
            </w:r>
          </w:p>
          <w:p w:rsidR="003D6A59" w:rsidRPr="003D6A59" w:rsidRDefault="003D6A59" w:rsidP="003D6A59">
            <w:pPr>
              <w:pStyle w:val="ListParagraph"/>
              <w:numPr>
                <w:ilvl w:val="0"/>
                <w:numId w:val="2"/>
              </w:numPr>
              <w:pBdr>
                <w:top w:val="nil"/>
                <w:left w:val="nil"/>
                <w:bottom w:val="nil"/>
                <w:right w:val="nil"/>
                <w:between w:val="nil"/>
              </w:pBdr>
              <w:spacing w:after="0" w:line="240" w:lineRule="auto"/>
              <w:rPr>
                <w:sz w:val="24"/>
                <w:szCs w:val="32"/>
              </w:rPr>
            </w:pPr>
            <w:r w:rsidRPr="003D6A59">
              <w:rPr>
                <w:sz w:val="24"/>
                <w:szCs w:val="32"/>
              </w:rPr>
              <w:t>Impact of dissimilatory practices</w:t>
            </w:r>
          </w:p>
          <w:p w:rsidR="003D6A59" w:rsidRPr="003D6A59" w:rsidRDefault="003D6A59" w:rsidP="003D6A59">
            <w:pPr>
              <w:pStyle w:val="ListParagraph"/>
              <w:numPr>
                <w:ilvl w:val="0"/>
                <w:numId w:val="2"/>
              </w:numPr>
              <w:pBdr>
                <w:top w:val="nil"/>
                <w:left w:val="nil"/>
                <w:bottom w:val="nil"/>
                <w:right w:val="nil"/>
                <w:between w:val="nil"/>
              </w:pBdr>
              <w:spacing w:after="0" w:line="240" w:lineRule="auto"/>
              <w:rPr>
                <w:sz w:val="24"/>
                <w:szCs w:val="32"/>
              </w:rPr>
            </w:pPr>
            <w:r w:rsidRPr="003D6A59">
              <w:rPr>
                <w:sz w:val="24"/>
                <w:szCs w:val="32"/>
              </w:rPr>
              <w:t>Legislation around rights of individuals</w:t>
            </w:r>
          </w:p>
          <w:p w:rsidR="003D6A59" w:rsidRPr="003D6A59" w:rsidRDefault="003D6A59" w:rsidP="003D6A59">
            <w:pPr>
              <w:pStyle w:val="ListParagraph"/>
              <w:numPr>
                <w:ilvl w:val="0"/>
                <w:numId w:val="2"/>
              </w:numPr>
              <w:pBdr>
                <w:top w:val="nil"/>
                <w:left w:val="nil"/>
                <w:bottom w:val="nil"/>
                <w:right w:val="nil"/>
                <w:between w:val="nil"/>
              </w:pBdr>
              <w:spacing w:after="0" w:line="240" w:lineRule="auto"/>
              <w:rPr>
                <w:sz w:val="24"/>
                <w:szCs w:val="32"/>
              </w:rPr>
            </w:pPr>
            <w:r w:rsidRPr="003D6A59">
              <w:rPr>
                <w:sz w:val="24"/>
                <w:szCs w:val="32"/>
              </w:rPr>
              <w:t>Equality and diverse environments.</w:t>
            </w:r>
          </w:p>
          <w:p w:rsidR="006A2EA5" w:rsidRDefault="006A2EA5">
            <w:pPr>
              <w:rPr>
                <w:sz w:val="20"/>
                <w:szCs w:val="20"/>
              </w:rPr>
            </w:pPr>
          </w:p>
        </w:tc>
        <w:tc>
          <w:tcPr>
            <w:tcW w:w="5265" w:type="dxa"/>
            <w:gridSpan w:val="3"/>
          </w:tcPr>
          <w:p w:rsidR="006A2EA5" w:rsidRDefault="002E26B6">
            <w:pPr>
              <w:pBdr>
                <w:top w:val="nil"/>
                <w:left w:val="nil"/>
                <w:bottom w:val="nil"/>
                <w:right w:val="nil"/>
                <w:between w:val="nil"/>
              </w:pBdr>
              <w:spacing w:after="0" w:line="240" w:lineRule="auto"/>
              <w:rPr>
                <w:b/>
                <w:sz w:val="24"/>
                <w:szCs w:val="24"/>
              </w:rPr>
            </w:pPr>
            <w:r>
              <w:rPr>
                <w:b/>
                <w:color w:val="000000"/>
                <w:sz w:val="24"/>
                <w:szCs w:val="24"/>
              </w:rPr>
              <w:t xml:space="preserve">Recommended reading to support Home Learning: </w:t>
            </w:r>
          </w:p>
          <w:p w:rsidR="006A2EA5" w:rsidRDefault="002E26B6">
            <w:pPr>
              <w:pBdr>
                <w:top w:val="nil"/>
                <w:left w:val="nil"/>
                <w:bottom w:val="nil"/>
                <w:right w:val="nil"/>
                <w:between w:val="nil"/>
              </w:pBdr>
              <w:spacing w:after="0" w:line="240" w:lineRule="auto"/>
              <w:rPr>
                <w:color w:val="000000"/>
                <w:sz w:val="20"/>
                <w:szCs w:val="20"/>
              </w:rPr>
            </w:pPr>
            <w:r>
              <w:rPr>
                <w:rFonts w:ascii="Arial" w:eastAsia="Arial" w:hAnsi="Arial" w:cs="Arial"/>
              </w:rPr>
              <w:t>Cambridge TECHNICALS Level 3 Book Adams, Riley et al.2021</w:t>
            </w:r>
          </w:p>
          <w:p w:rsidR="006A2EA5" w:rsidRDefault="002E26B6">
            <w:pPr>
              <w:pBdr>
                <w:top w:val="nil"/>
                <w:left w:val="nil"/>
                <w:bottom w:val="nil"/>
                <w:right w:val="nil"/>
                <w:between w:val="nil"/>
              </w:pBdr>
              <w:spacing w:after="0" w:line="240" w:lineRule="auto"/>
              <w:rPr>
                <w:color w:val="000000"/>
                <w:sz w:val="20"/>
                <w:szCs w:val="20"/>
              </w:rPr>
            </w:pPr>
            <w:r>
              <w:rPr>
                <w:rFonts w:ascii="Arial" w:eastAsia="Arial" w:hAnsi="Arial" w:cs="Arial"/>
                <w:color w:val="000000"/>
              </w:rPr>
              <w:t xml:space="preserve">Google Classroom to be used. </w:t>
            </w:r>
          </w:p>
          <w:p w:rsidR="006A2EA5" w:rsidRDefault="006A2EA5">
            <w:pPr>
              <w:pBdr>
                <w:top w:val="nil"/>
                <w:left w:val="nil"/>
                <w:bottom w:val="nil"/>
                <w:right w:val="nil"/>
                <w:between w:val="nil"/>
              </w:pBdr>
              <w:spacing w:after="0" w:line="240" w:lineRule="auto"/>
              <w:rPr>
                <w:b/>
                <w:color w:val="000000"/>
                <w:sz w:val="24"/>
                <w:szCs w:val="24"/>
              </w:rPr>
            </w:pPr>
          </w:p>
          <w:p w:rsidR="006A2EA5" w:rsidRDefault="002E26B6">
            <w:pPr>
              <w:pBdr>
                <w:top w:val="nil"/>
                <w:left w:val="nil"/>
                <w:bottom w:val="nil"/>
                <w:right w:val="nil"/>
                <w:between w:val="nil"/>
              </w:pBdr>
              <w:spacing w:after="0" w:line="240" w:lineRule="auto"/>
              <w:rPr>
                <w:b/>
                <w:color w:val="000000"/>
                <w:sz w:val="24"/>
                <w:szCs w:val="24"/>
              </w:rPr>
            </w:pPr>
            <w:r>
              <w:rPr>
                <w:b/>
                <w:color w:val="000000"/>
                <w:sz w:val="24"/>
                <w:szCs w:val="24"/>
              </w:rPr>
              <w:t>Recommended places to visit with your family:</w:t>
            </w:r>
          </w:p>
          <w:p w:rsidR="006A2EA5" w:rsidRDefault="002E26B6">
            <w:pPr>
              <w:pBdr>
                <w:top w:val="nil"/>
                <w:left w:val="nil"/>
                <w:bottom w:val="nil"/>
                <w:right w:val="nil"/>
                <w:between w:val="nil"/>
              </w:pBdr>
              <w:spacing w:after="0" w:line="240" w:lineRule="auto"/>
              <w:rPr>
                <w:rFonts w:ascii="Arial" w:eastAsia="Arial" w:hAnsi="Arial" w:cs="Arial"/>
                <w:color w:val="222223"/>
                <w:sz w:val="20"/>
                <w:szCs w:val="20"/>
              </w:rPr>
            </w:pPr>
            <w:r>
              <w:rPr>
                <w:rFonts w:ascii="Arial" w:eastAsia="Arial" w:hAnsi="Arial" w:cs="Arial"/>
                <w:color w:val="222223"/>
                <w:sz w:val="20"/>
                <w:szCs w:val="20"/>
              </w:rPr>
              <w:t>The Royal College of Surgeons of England</w:t>
            </w:r>
          </w:p>
          <w:p w:rsidR="006A2EA5" w:rsidRDefault="00CB2A42">
            <w:pPr>
              <w:pBdr>
                <w:top w:val="nil"/>
                <w:left w:val="nil"/>
                <w:bottom w:val="nil"/>
                <w:right w:val="nil"/>
                <w:between w:val="nil"/>
              </w:pBdr>
              <w:spacing w:after="0" w:line="240" w:lineRule="auto"/>
              <w:rPr>
                <w:rFonts w:ascii="Arial" w:eastAsia="Arial" w:hAnsi="Arial" w:cs="Arial"/>
                <w:color w:val="222223"/>
                <w:sz w:val="20"/>
                <w:szCs w:val="20"/>
              </w:rPr>
            </w:pPr>
            <w:hyperlink r:id="rId8">
              <w:r w:rsidR="002E26B6">
                <w:rPr>
                  <w:rFonts w:ascii="Arial" w:eastAsia="Arial" w:hAnsi="Arial" w:cs="Arial"/>
                  <w:color w:val="0000FF"/>
                  <w:sz w:val="20"/>
                  <w:szCs w:val="20"/>
                  <w:u w:val="single"/>
                </w:rPr>
                <w:t>https://www.rcseng.ac.uk/</w:t>
              </w:r>
            </w:hyperlink>
            <w:r w:rsidR="002E26B6">
              <w:rPr>
                <w:rFonts w:ascii="Arial" w:eastAsia="Arial" w:hAnsi="Arial" w:cs="Arial"/>
                <w:color w:val="222223"/>
                <w:sz w:val="20"/>
                <w:szCs w:val="20"/>
              </w:rPr>
              <w:t xml:space="preserve"> </w:t>
            </w:r>
          </w:p>
          <w:p w:rsidR="006A2EA5" w:rsidRDefault="006A2EA5">
            <w:pPr>
              <w:pBdr>
                <w:top w:val="nil"/>
                <w:left w:val="nil"/>
                <w:bottom w:val="nil"/>
                <w:right w:val="nil"/>
                <w:between w:val="nil"/>
              </w:pBdr>
              <w:spacing w:after="0" w:line="240" w:lineRule="auto"/>
              <w:rPr>
                <w:rFonts w:ascii="Arial" w:eastAsia="Arial" w:hAnsi="Arial" w:cs="Arial"/>
                <w:color w:val="222223"/>
                <w:sz w:val="20"/>
                <w:szCs w:val="20"/>
              </w:rPr>
            </w:pPr>
          </w:p>
          <w:p w:rsidR="006A2EA5" w:rsidRDefault="002E26B6">
            <w:pPr>
              <w:pBdr>
                <w:top w:val="nil"/>
                <w:left w:val="nil"/>
                <w:bottom w:val="nil"/>
                <w:right w:val="nil"/>
                <w:between w:val="nil"/>
              </w:pBdr>
              <w:spacing w:after="0" w:line="240" w:lineRule="auto"/>
              <w:rPr>
                <w:color w:val="000000"/>
                <w:sz w:val="20"/>
                <w:szCs w:val="20"/>
              </w:rPr>
            </w:pPr>
            <w:r>
              <w:rPr>
                <w:rFonts w:ascii="Arial" w:eastAsia="Arial" w:hAnsi="Arial" w:cs="Arial"/>
                <w:color w:val="222223"/>
                <w:sz w:val="20"/>
                <w:szCs w:val="20"/>
              </w:rPr>
              <w:t>Volunteering -</w:t>
            </w:r>
            <w:hyperlink r:id="rId9">
              <w:r>
                <w:rPr>
                  <w:rFonts w:ascii="Arial" w:eastAsia="Arial" w:hAnsi="Arial" w:cs="Arial"/>
                  <w:color w:val="222223"/>
                  <w:sz w:val="20"/>
                  <w:szCs w:val="20"/>
                </w:rPr>
                <w:t xml:space="preserve"> </w:t>
              </w:r>
            </w:hyperlink>
            <w:hyperlink r:id="rId10">
              <w:r>
                <w:rPr>
                  <w:rFonts w:ascii="Arial" w:eastAsia="Arial" w:hAnsi="Arial" w:cs="Arial"/>
                  <w:color w:val="1155CC"/>
                  <w:sz w:val="20"/>
                  <w:szCs w:val="20"/>
                  <w:u w:val="single"/>
                </w:rPr>
                <w:t>https://www.uclh.nhs.uk/work-with-us/volunte</w:t>
              </w:r>
              <w:bookmarkStart w:id="1" w:name="_GoBack"/>
              <w:bookmarkEnd w:id="1"/>
              <w:r>
                <w:rPr>
                  <w:rFonts w:ascii="Arial" w:eastAsia="Arial" w:hAnsi="Arial" w:cs="Arial"/>
                  <w:color w:val="1155CC"/>
                  <w:sz w:val="20"/>
                  <w:szCs w:val="20"/>
                  <w:u w:val="single"/>
                </w:rPr>
                <w:t>ering</w:t>
              </w:r>
            </w:hyperlink>
          </w:p>
        </w:tc>
      </w:tr>
    </w:tbl>
    <w:p w:rsidR="006A2EA5" w:rsidRDefault="006A2EA5"/>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3D6A59" w:rsidRDefault="003D6A59"/>
    <w:p w:rsidR="006A2EA5" w:rsidRDefault="006A2EA5"/>
    <w:tbl>
      <w:tblPr>
        <w:tblStyle w:val="a0"/>
        <w:tblW w:w="10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75"/>
      </w:tblGrid>
      <w:tr w:rsidR="006A2EA5">
        <w:trPr>
          <w:trHeight w:val="550"/>
        </w:trPr>
        <w:tc>
          <w:tcPr>
            <w:tcW w:w="10175" w:type="dxa"/>
          </w:tcPr>
          <w:p w:rsidR="006A2EA5" w:rsidRDefault="002E26B6">
            <w:r>
              <w:rPr>
                <w:b/>
                <w:sz w:val="32"/>
                <w:szCs w:val="32"/>
              </w:rPr>
              <w:lastRenderedPageBreak/>
              <w:t>Success criteria</w:t>
            </w:r>
            <w:r>
              <w:t xml:space="preserve"> – Have you met them? Show your </w:t>
            </w:r>
            <w:r>
              <w:rPr>
                <w:u w:val="single"/>
              </w:rPr>
              <w:t>evidence</w:t>
            </w:r>
            <w:r>
              <w:t xml:space="preserve"> in the boxes below.</w:t>
            </w:r>
          </w:p>
        </w:tc>
      </w:tr>
      <w:tr w:rsidR="006A2EA5">
        <w:trPr>
          <w:trHeight w:val="1651"/>
        </w:trPr>
        <w:tc>
          <w:tcPr>
            <w:tcW w:w="10175" w:type="dxa"/>
          </w:tcPr>
          <w:p w:rsidR="006A2EA5" w:rsidRDefault="002E26B6">
            <w:pPr>
              <w:rPr>
                <w:b/>
                <w:sz w:val="36"/>
                <w:szCs w:val="36"/>
              </w:rPr>
            </w:pPr>
            <w:r>
              <w:rPr>
                <w:b/>
                <w:sz w:val="36"/>
                <w:szCs w:val="36"/>
              </w:rPr>
              <w:t>1.</w:t>
            </w:r>
          </w:p>
          <w:p w:rsidR="006A2EA5" w:rsidRDefault="006A2EA5">
            <w:pPr>
              <w:rPr>
                <w:b/>
              </w:rPr>
            </w:pPr>
          </w:p>
        </w:tc>
      </w:tr>
      <w:tr w:rsidR="006A2EA5">
        <w:trPr>
          <w:trHeight w:val="1619"/>
        </w:trPr>
        <w:tc>
          <w:tcPr>
            <w:tcW w:w="10175" w:type="dxa"/>
          </w:tcPr>
          <w:p w:rsidR="006A2EA5" w:rsidRDefault="002E26B6">
            <w:pPr>
              <w:rPr>
                <w:b/>
                <w:sz w:val="36"/>
                <w:szCs w:val="36"/>
              </w:rPr>
            </w:pPr>
            <w:r>
              <w:rPr>
                <w:b/>
                <w:sz w:val="36"/>
                <w:szCs w:val="36"/>
              </w:rPr>
              <w:t>2.</w:t>
            </w:r>
          </w:p>
          <w:p w:rsidR="006A2EA5" w:rsidRDefault="006A2EA5">
            <w:pPr>
              <w:rPr>
                <w:b/>
              </w:rPr>
            </w:pPr>
          </w:p>
        </w:tc>
      </w:tr>
      <w:tr w:rsidR="006A2EA5">
        <w:trPr>
          <w:trHeight w:val="1768"/>
        </w:trPr>
        <w:tc>
          <w:tcPr>
            <w:tcW w:w="10175" w:type="dxa"/>
          </w:tcPr>
          <w:p w:rsidR="006A2EA5" w:rsidRDefault="002E26B6">
            <w:pPr>
              <w:rPr>
                <w:b/>
                <w:sz w:val="36"/>
                <w:szCs w:val="36"/>
              </w:rPr>
            </w:pPr>
            <w:r>
              <w:rPr>
                <w:b/>
                <w:sz w:val="36"/>
                <w:szCs w:val="36"/>
              </w:rPr>
              <w:t>3.</w:t>
            </w:r>
          </w:p>
          <w:p w:rsidR="006A2EA5" w:rsidRDefault="006A2EA5">
            <w:pPr>
              <w:rPr>
                <w:b/>
              </w:rPr>
            </w:pPr>
          </w:p>
        </w:tc>
      </w:tr>
      <w:tr w:rsidR="006A2EA5">
        <w:trPr>
          <w:trHeight w:val="1766"/>
        </w:trPr>
        <w:tc>
          <w:tcPr>
            <w:tcW w:w="10175" w:type="dxa"/>
          </w:tcPr>
          <w:p w:rsidR="006A2EA5" w:rsidRDefault="002E26B6">
            <w:pPr>
              <w:rPr>
                <w:b/>
              </w:rPr>
            </w:pPr>
            <w:r>
              <w:rPr>
                <w:b/>
                <w:sz w:val="36"/>
                <w:szCs w:val="36"/>
              </w:rPr>
              <w:t>4.</w:t>
            </w:r>
          </w:p>
        </w:tc>
      </w:tr>
      <w:tr w:rsidR="006A2EA5">
        <w:trPr>
          <w:trHeight w:val="1903"/>
        </w:trPr>
        <w:tc>
          <w:tcPr>
            <w:tcW w:w="10175" w:type="dxa"/>
          </w:tcPr>
          <w:p w:rsidR="006A2EA5" w:rsidRDefault="002E26B6">
            <w:pPr>
              <w:rPr>
                <w:b/>
              </w:rPr>
            </w:pPr>
            <w:r>
              <w:rPr>
                <w:b/>
                <w:sz w:val="36"/>
                <w:szCs w:val="36"/>
              </w:rPr>
              <w:t>5.</w:t>
            </w:r>
          </w:p>
        </w:tc>
      </w:tr>
      <w:tr w:rsidR="006A2EA5">
        <w:trPr>
          <w:trHeight w:val="1624"/>
        </w:trPr>
        <w:tc>
          <w:tcPr>
            <w:tcW w:w="10175" w:type="dxa"/>
          </w:tcPr>
          <w:p w:rsidR="006A2EA5" w:rsidRDefault="002E26B6">
            <w:pPr>
              <w:rPr>
                <w:b/>
                <w:sz w:val="36"/>
                <w:szCs w:val="36"/>
              </w:rPr>
            </w:pPr>
            <w:r>
              <w:rPr>
                <w:b/>
                <w:sz w:val="36"/>
                <w:szCs w:val="36"/>
              </w:rPr>
              <w:t>6.</w:t>
            </w:r>
          </w:p>
        </w:tc>
      </w:tr>
      <w:tr w:rsidR="006A2EA5">
        <w:trPr>
          <w:trHeight w:val="937"/>
        </w:trPr>
        <w:tc>
          <w:tcPr>
            <w:tcW w:w="10175" w:type="dxa"/>
          </w:tcPr>
          <w:p w:rsidR="006A2EA5" w:rsidRDefault="002E26B6">
            <w:pPr>
              <w:rPr>
                <w:b/>
                <w:sz w:val="24"/>
                <w:szCs w:val="24"/>
              </w:rPr>
            </w:pPr>
            <w:r>
              <w:rPr>
                <w:b/>
                <w:sz w:val="24"/>
                <w:szCs w:val="24"/>
              </w:rPr>
              <w:t>How will you improve your work?</w:t>
            </w:r>
          </w:p>
          <w:p w:rsidR="006A2EA5" w:rsidRDefault="006A2EA5">
            <w:pPr>
              <w:rPr>
                <w:b/>
                <w:sz w:val="36"/>
                <w:szCs w:val="36"/>
              </w:rPr>
            </w:pPr>
          </w:p>
        </w:tc>
      </w:tr>
    </w:tbl>
    <w:p w:rsidR="006A2EA5" w:rsidRDefault="002E26B6">
      <w:r>
        <w:rPr>
          <w:noProof/>
        </w:rPr>
        <mc:AlternateContent>
          <mc:Choice Requires="wps">
            <w:drawing>
              <wp:anchor distT="0" distB="0" distL="114300" distR="114300" simplePos="0" relativeHeight="251659264" behindDoc="0" locked="0" layoutInCell="1" hidden="0" allowOverlap="1">
                <wp:simplePos x="0" y="0"/>
                <wp:positionH relativeFrom="column">
                  <wp:posOffset>2019300</wp:posOffset>
                </wp:positionH>
                <wp:positionV relativeFrom="paragraph">
                  <wp:posOffset>-12699</wp:posOffset>
                </wp:positionV>
                <wp:extent cx="2600325" cy="304800"/>
                <wp:effectExtent l="0" t="0" r="0" b="0"/>
                <wp:wrapNone/>
                <wp:docPr id="5" name="Rectangle 5"/>
                <wp:cNvGraphicFramePr/>
                <a:graphic xmlns:a="http://schemas.openxmlformats.org/drawingml/2006/main">
                  <a:graphicData uri="http://schemas.microsoft.com/office/word/2010/wordprocessingShape">
                    <wps:wsp>
                      <wps:cNvSpPr/>
                      <wps:spPr>
                        <a:xfrm>
                          <a:off x="4050600" y="3632363"/>
                          <a:ext cx="2590800"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A2EA5" w:rsidRDefault="002E26B6">
                            <w:pPr>
                              <w:spacing w:line="275" w:lineRule="auto"/>
                              <w:jc w:val="center"/>
                              <w:textDirection w:val="btLr"/>
                            </w:pPr>
                            <w:r>
                              <w:rPr>
                                <w:b/>
                                <w:color w:val="000000"/>
                                <w:sz w:val="28"/>
                              </w:rPr>
                              <w:t>End of Unit EVALUATION</w:t>
                            </w:r>
                          </w:p>
                        </w:txbxContent>
                      </wps:txbx>
                      <wps:bodyPr spcFirstLastPara="1" wrap="square" lIns="91425" tIns="45700" rIns="91425" bIns="45700" anchor="ctr" anchorCtr="0">
                        <a:noAutofit/>
                      </wps:bodyPr>
                    </wps:wsp>
                  </a:graphicData>
                </a:graphic>
              </wp:anchor>
            </w:drawing>
          </mc:Choice>
          <mc:Fallback>
            <w:pict>
              <v:rect id="Rectangle 5" o:spid="_x0000_s1027" style="position:absolute;margin-left:159pt;margin-top:-1pt;width:204.7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">
                <v:stroke startarrowwidth="narrow" startarrowlength="short" endarrowwidth="narrow" endarrowlength="short"/>
                <v:textbox inset="2.53958mm,1.2694mm,2.53958mm,1.2694mm">
                  <w:txbxContent>
                    <w:p w:rsidR="006A2EA5" w:rsidRDefault="002E26B6">
                      <w:pPr>
                        <w:spacing w:line="275" w:lineRule="auto"/>
                        <w:jc w:val="center"/>
                        <w:textDirection w:val="btLr"/>
                      </w:pPr>
                      <w:r>
                        <w:rPr>
                          <w:b/>
                          <w:color w:val="000000"/>
                          <w:sz w:val="28"/>
                        </w:rPr>
                        <w:t>End of Unit EVALUATION</w:t>
                      </w:r>
                    </w:p>
                  </w:txbxContent>
                </v:textbox>
              </v:rect>
            </w:pict>
          </mc:Fallback>
        </mc:AlternateContent>
      </w:r>
    </w:p>
    <w:sectPr w:rsidR="006A2EA5">
      <w:head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A42" w:rsidRDefault="00CB2A42">
      <w:pPr>
        <w:spacing w:after="0" w:line="240" w:lineRule="auto"/>
      </w:pPr>
      <w:r>
        <w:separator/>
      </w:r>
    </w:p>
  </w:endnote>
  <w:endnote w:type="continuationSeparator" w:id="0">
    <w:p w:rsidR="00CB2A42" w:rsidRDefault="00CB2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A42" w:rsidRDefault="00CB2A42">
      <w:pPr>
        <w:spacing w:after="0" w:line="240" w:lineRule="auto"/>
      </w:pPr>
      <w:r>
        <w:separator/>
      </w:r>
    </w:p>
  </w:footnote>
  <w:footnote w:type="continuationSeparator" w:id="0">
    <w:p w:rsidR="00CB2A42" w:rsidRDefault="00CB2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A5" w:rsidRDefault="002E26B6">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extent cx="962025" cy="47625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62025" cy="476250"/>
                  </a:xfrm>
                  <a:prstGeom prst="rect">
                    <a:avLst/>
                  </a:prstGeom>
                  <a:ln/>
                </pic:spPr>
              </pic:pic>
            </a:graphicData>
          </a:graphic>
        </wp:inline>
      </w:drawing>
    </w:r>
  </w:p>
  <w:p w:rsidR="006A2EA5" w:rsidRDefault="002E26B6">
    <w:pPr>
      <w:tabs>
        <w:tab w:val="center" w:pos="4513"/>
        <w:tab w:val="right" w:pos="9026"/>
      </w:tabs>
      <w:jc w:val="center"/>
      <w:rPr>
        <w:rFonts w:ascii="Arial" w:eastAsia="Arial" w:hAnsi="Arial" w:cs="Arial"/>
        <w:sz w:val="20"/>
        <w:szCs w:val="20"/>
      </w:rPr>
    </w:pPr>
    <w:r>
      <w:rPr>
        <w:rFonts w:ascii="Arial" w:eastAsia="Arial" w:hAnsi="Arial" w:cs="Arial"/>
        <w:sz w:val="20"/>
        <w:szCs w:val="20"/>
      </w:rPr>
      <w:t>Professionalism. Inclusion. Pedagogy. Curriculum.</w:t>
    </w:r>
  </w:p>
  <w:p w:rsidR="006A2EA5" w:rsidRDefault="002E26B6">
    <w:pPr>
      <w:tabs>
        <w:tab w:val="center" w:pos="4513"/>
        <w:tab w:val="right" w:pos="9026"/>
      </w:tabs>
      <w:jc w:val="center"/>
      <w:rPr>
        <w:rFonts w:ascii="Arial" w:eastAsia="Arial" w:hAnsi="Arial" w:cs="Arial"/>
        <w:sz w:val="20"/>
        <w:szCs w:val="20"/>
      </w:rPr>
    </w:pPr>
    <w:r>
      <w:rPr>
        <w:rFonts w:ascii="Arial" w:eastAsia="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CCA"/>
    <w:multiLevelType w:val="hybridMultilevel"/>
    <w:tmpl w:val="C8D06D04"/>
    <w:lvl w:ilvl="0" w:tplc="4D481EFA">
      <w:start w:val="1"/>
      <w:numFmt w:val="decimal"/>
      <w:lvlText w:val="%1."/>
      <w:lvlJc w:val="left"/>
      <w:pPr>
        <w:ind w:left="720" w:hanging="360"/>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29477A"/>
    <w:multiLevelType w:val="hybridMultilevel"/>
    <w:tmpl w:val="AFEC7436"/>
    <w:lvl w:ilvl="0" w:tplc="4D481EFA">
      <w:start w:val="1"/>
      <w:numFmt w:val="decimal"/>
      <w:lvlText w:val="%1."/>
      <w:lvlJc w:val="left"/>
      <w:pPr>
        <w:ind w:left="720" w:hanging="360"/>
      </w:pPr>
      <w:rPr>
        <w:rFonts w:ascii="Arial" w:eastAsia="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EA5"/>
    <w:rsid w:val="001C78FB"/>
    <w:rsid w:val="002635DC"/>
    <w:rsid w:val="002E1A10"/>
    <w:rsid w:val="002E26B6"/>
    <w:rsid w:val="003D6A59"/>
    <w:rsid w:val="006A2EA5"/>
    <w:rsid w:val="007103CD"/>
    <w:rsid w:val="00CB2A42"/>
    <w:rsid w:val="00DA5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123E"/>
  <w15:docId w15:val="{B008308E-CC76-4067-985C-3FDD9E2C5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character" w:styleId="UnresolvedMention">
    <w:name w:val="Unresolved Mention"/>
    <w:basedOn w:val="DefaultParagraphFont"/>
    <w:uiPriority w:val="99"/>
    <w:semiHidden/>
    <w:unhideWhenUsed/>
    <w:rsid w:val="007F49A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cseng.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clh.nhs.uk/work-with-us/volunteering" TargetMode="External"/><Relationship Id="rId4" Type="http://schemas.openxmlformats.org/officeDocument/2006/relationships/settings" Target="settings.xml"/><Relationship Id="rId9" Type="http://schemas.openxmlformats.org/officeDocument/2006/relationships/hyperlink" Target="https://www.uclh.nhs.uk/work-with-us/volunte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bVUla/U1BceDxsM9e+tH8IbqSg==">AMUW2mWg6HVnogSiiMUfWJCRpIX5jA1fAFhDACywuTbh0Crp2bJw8ART3mQpoEVkG7pvcqUnO4qJVjy8v+4PirwQwsm96KwgkNlJGtC66p8ysHNVLxDq+lsINBY+4B6alEYRyJa40hG2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Liam O'Hara</cp:lastModifiedBy>
  <cp:revision>5</cp:revision>
  <dcterms:created xsi:type="dcterms:W3CDTF">2023-02-24T10:45:00Z</dcterms:created>
  <dcterms:modified xsi:type="dcterms:W3CDTF">2023-02-27T11:03:00Z</dcterms:modified>
</cp:coreProperties>
</file>