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C12" w:rsidRDefault="00290E32">
      <w:pPr>
        <w:ind w:left="0" w:hanging="2"/>
        <w:rPr>
          <w:rFonts w:ascii="Indie Flower" w:eastAsia="Indie Flower" w:hAnsi="Indie Flower" w:cs="Indie Flower"/>
        </w:rPr>
      </w:pPr>
      <w:r>
        <w:rPr>
          <w:noProof/>
        </w:rPr>
        <w:drawing>
          <wp:anchor distT="0" distB="0" distL="0" distR="0" simplePos="0" relativeHeight="251658240" behindDoc="0" locked="0" layoutInCell="1" hidden="0" allowOverlap="1">
            <wp:simplePos x="0" y="0"/>
            <wp:positionH relativeFrom="margin">
              <wp:align>center</wp:align>
            </wp:positionH>
            <wp:positionV relativeFrom="paragraph">
              <wp:posOffset>5715</wp:posOffset>
            </wp:positionV>
            <wp:extent cx="4610100" cy="60960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610100" cy="609600"/>
                    </a:xfrm>
                    <a:prstGeom prst="rect">
                      <a:avLst/>
                    </a:prstGeom>
                    <a:ln/>
                  </pic:spPr>
                </pic:pic>
              </a:graphicData>
            </a:graphic>
            <wp14:sizeRelH relativeFrom="margin">
              <wp14:pctWidth>0</wp14:pctWidth>
            </wp14:sizeRelH>
            <wp14:sizeRelV relativeFrom="margin">
              <wp14:pctHeight>0</wp14:pctHeight>
            </wp14:sizeRelV>
          </wp:anchor>
        </w:drawing>
      </w:r>
    </w:p>
    <w:p w:rsidR="00451A38" w:rsidRDefault="00451A38" w:rsidP="00451A38">
      <w:pPr>
        <w:ind w:leftChars="0" w:left="0" w:firstLineChars="0" w:firstLine="0"/>
        <w:rPr>
          <w:sz w:val="24"/>
          <w:szCs w:val="24"/>
        </w:rPr>
      </w:pPr>
    </w:p>
    <w:p w:rsidR="00535C12" w:rsidRPr="007A1C83" w:rsidRDefault="00290E32" w:rsidP="00451A38">
      <w:pPr>
        <w:ind w:leftChars="0" w:left="0" w:firstLineChars="0" w:firstLine="0"/>
        <w:rPr>
          <w:sz w:val="18"/>
          <w:szCs w:val="18"/>
        </w:rPr>
      </w:pPr>
      <w:r w:rsidRPr="007A1C83">
        <w:rPr>
          <w:b/>
          <w:color w:val="404040"/>
          <w:sz w:val="18"/>
          <w:szCs w:val="18"/>
          <w:highlight w:val="white"/>
        </w:rPr>
        <w:t>In the mathematics faculty we aim to inspire the mathematician in every student, developing fluency and confidence in using mathematics to reason and solve problems. We also aim to develop an appreciation of the beauty and humanity of mathematics and of its historical development and wider social relevance. We seek to do this without placing limits on the attainment of any student and while developing universal human values including anti-racism and challenging sexism, homophobia and other forms of discrimination.</w:t>
      </w:r>
    </w:p>
    <w:tbl>
      <w:tblPr>
        <w:tblStyle w:val="a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386"/>
      </w:tblGrid>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0" w:hanging="2"/>
              <w:jc w:val="center"/>
              <w:rPr>
                <w:color w:val="000000"/>
                <w:sz w:val="24"/>
                <w:szCs w:val="24"/>
              </w:rPr>
            </w:pPr>
            <w:r>
              <w:rPr>
                <w:b/>
                <w:i/>
                <w:color w:val="000000"/>
                <w:sz w:val="24"/>
                <w:szCs w:val="24"/>
              </w:rPr>
              <w:t xml:space="preserve">Year </w:t>
            </w:r>
            <w:r w:rsidR="006D0362">
              <w:rPr>
                <w:b/>
                <w:i/>
                <w:sz w:val="24"/>
                <w:szCs w:val="24"/>
              </w:rPr>
              <w:t>1</w:t>
            </w:r>
            <w:r w:rsidR="004D3F2B">
              <w:rPr>
                <w:b/>
                <w:i/>
                <w:sz w:val="24"/>
                <w:szCs w:val="24"/>
              </w:rPr>
              <w:t>1</w:t>
            </w:r>
            <w:r>
              <w:rPr>
                <w:b/>
                <w:i/>
                <w:color w:val="000000"/>
                <w:sz w:val="24"/>
                <w:szCs w:val="24"/>
              </w:rPr>
              <w:t xml:space="preserve"> Learning Journey</w:t>
            </w:r>
          </w:p>
        </w:tc>
      </w:tr>
      <w:tr w:rsidR="00535C12" w:rsidTr="00E857C7">
        <w:trPr>
          <w:jc w:val="center"/>
        </w:trPr>
        <w:tc>
          <w:tcPr>
            <w:tcW w:w="10201" w:type="dxa"/>
            <w:gridSpan w:val="2"/>
          </w:tcPr>
          <w:p w:rsidR="00535C12" w:rsidRDefault="004D3F2B">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Overview</w:t>
            </w:r>
          </w:p>
        </w:tc>
      </w:tr>
      <w:tr w:rsidR="00535C12" w:rsidTr="00E857C7">
        <w:trPr>
          <w:jc w:val="center"/>
        </w:trPr>
        <w:tc>
          <w:tcPr>
            <w:tcW w:w="4815" w:type="dxa"/>
          </w:tcPr>
          <w:p w:rsidR="00535C12" w:rsidRPr="006D0362" w:rsidRDefault="00535C12">
            <w:pPr>
              <w:pBdr>
                <w:top w:val="nil"/>
                <w:left w:val="nil"/>
                <w:bottom w:val="nil"/>
                <w:right w:val="nil"/>
                <w:between w:val="nil"/>
              </w:pBdr>
              <w:spacing w:after="0" w:line="240" w:lineRule="auto"/>
              <w:ind w:left="0" w:hanging="2"/>
              <w:jc w:val="center"/>
              <w:rPr>
                <w:sz w:val="20"/>
                <w:szCs w:val="20"/>
              </w:rPr>
            </w:pPr>
          </w:p>
        </w:tc>
        <w:tc>
          <w:tcPr>
            <w:tcW w:w="5386" w:type="dxa"/>
          </w:tcPr>
          <w:p w:rsidR="00535C12" w:rsidRPr="007A1C83" w:rsidRDefault="00535C12">
            <w:pPr>
              <w:pBdr>
                <w:top w:val="nil"/>
                <w:left w:val="nil"/>
                <w:bottom w:val="nil"/>
                <w:right w:val="nil"/>
                <w:between w:val="nil"/>
              </w:pBdr>
              <w:spacing w:after="0" w:line="240" w:lineRule="auto"/>
              <w:ind w:left="0" w:hanging="2"/>
              <w:jc w:val="center"/>
              <w:rPr>
                <w:b/>
                <w:color w:val="000000"/>
                <w:sz w:val="20"/>
                <w:szCs w:val="20"/>
              </w:rPr>
            </w:pPr>
          </w:p>
        </w:tc>
      </w:tr>
      <w:tr w:rsidR="00535C12" w:rsidTr="00E857C7">
        <w:trPr>
          <w:trHeight w:val="3361"/>
          <w:jc w:val="center"/>
        </w:trPr>
        <w:tc>
          <w:tcPr>
            <w:tcW w:w="4815" w:type="dxa"/>
          </w:tcPr>
          <w:p w:rsidR="006D0362" w:rsidRPr="008D56A4" w:rsidRDefault="00291F3C" w:rsidP="004D3F2B">
            <w:pPr>
              <w:pBdr>
                <w:top w:val="nil"/>
                <w:left w:val="nil"/>
                <w:bottom w:val="nil"/>
                <w:right w:val="nil"/>
                <w:between w:val="nil"/>
              </w:pBdr>
              <w:spacing w:after="0" w:line="240" w:lineRule="auto"/>
              <w:ind w:left="0" w:hanging="2"/>
              <w:rPr>
                <w:i/>
                <w:color w:val="0000FF"/>
              </w:rPr>
            </w:pPr>
            <w:r w:rsidRPr="008D56A4">
              <w:rPr>
                <w:i/>
                <w:color w:val="0000FF"/>
              </w:rPr>
              <w:t xml:space="preserve"> </w:t>
            </w:r>
            <w:r w:rsidR="004D3F2B" w:rsidRPr="008D56A4">
              <w:rPr>
                <w:i/>
                <w:color w:val="0000FF"/>
              </w:rPr>
              <w:t>Year 11 is different as it is focussed on preparing students for public exams.</w:t>
            </w:r>
          </w:p>
          <w:p w:rsidR="008D56A4" w:rsidRPr="008D56A4" w:rsidRDefault="008D56A4" w:rsidP="004D3F2B">
            <w:pPr>
              <w:pBdr>
                <w:top w:val="nil"/>
                <w:left w:val="nil"/>
                <w:bottom w:val="nil"/>
                <w:right w:val="nil"/>
                <w:between w:val="nil"/>
              </w:pBdr>
              <w:spacing w:after="0" w:line="240" w:lineRule="auto"/>
              <w:ind w:left="0" w:hanging="2"/>
              <w:rPr>
                <w:i/>
                <w:color w:val="0000FF"/>
              </w:rPr>
            </w:pPr>
          </w:p>
          <w:p w:rsidR="008D56A4" w:rsidRPr="008D56A4" w:rsidRDefault="008D56A4" w:rsidP="004D3F2B">
            <w:pPr>
              <w:pBdr>
                <w:top w:val="nil"/>
                <w:left w:val="nil"/>
                <w:bottom w:val="nil"/>
                <w:right w:val="nil"/>
                <w:between w:val="nil"/>
              </w:pBdr>
              <w:spacing w:after="0" w:line="240" w:lineRule="auto"/>
              <w:ind w:left="0" w:hanging="2"/>
              <w:rPr>
                <w:b/>
                <w:i/>
                <w:color w:val="0000CC"/>
              </w:rPr>
            </w:pPr>
            <w:r w:rsidRPr="008D56A4">
              <w:rPr>
                <w:b/>
                <w:i/>
                <w:color w:val="0000CC"/>
              </w:rPr>
              <w:t>YEAR 10 into YEAR 11</w:t>
            </w:r>
          </w:p>
          <w:p w:rsidR="00535C12" w:rsidRPr="008D56A4" w:rsidRDefault="004D3F2B" w:rsidP="004D3F2B">
            <w:pPr>
              <w:pStyle w:val="ListParagraph"/>
              <w:numPr>
                <w:ilvl w:val="0"/>
                <w:numId w:val="23"/>
              </w:numPr>
              <w:spacing w:after="0" w:line="240" w:lineRule="auto"/>
              <w:ind w:leftChars="0" w:firstLineChars="0"/>
            </w:pPr>
            <w:r w:rsidRPr="008D56A4">
              <w:t>We carefully assess where students are, using for example a detailed analysis of answers to individual questions across the “mock” Pre-Public Exam end of year 10 exam that students.</w:t>
            </w:r>
          </w:p>
          <w:p w:rsidR="004D3F2B" w:rsidRPr="008D56A4" w:rsidRDefault="004D3F2B" w:rsidP="004D3F2B">
            <w:pPr>
              <w:pStyle w:val="ListParagraph"/>
              <w:numPr>
                <w:ilvl w:val="0"/>
                <w:numId w:val="23"/>
              </w:numPr>
              <w:spacing w:after="0" w:line="240" w:lineRule="auto"/>
              <w:ind w:leftChars="0" w:firstLineChars="0"/>
            </w:pPr>
            <w:r w:rsidRPr="008D56A4">
              <w:t>This is a full 3 paper GCSE style exam that covers the full range of content.</w:t>
            </w:r>
          </w:p>
          <w:p w:rsidR="004D3F2B" w:rsidRPr="008D56A4" w:rsidRDefault="004D3F2B" w:rsidP="004D3F2B">
            <w:pPr>
              <w:pStyle w:val="ListParagraph"/>
              <w:numPr>
                <w:ilvl w:val="0"/>
                <w:numId w:val="23"/>
              </w:numPr>
              <w:spacing w:after="0" w:line="240" w:lineRule="auto"/>
              <w:ind w:leftChars="0" w:firstLineChars="0"/>
            </w:pPr>
            <w:r w:rsidRPr="008D56A4">
              <w:t>This analysis, coupled with teachers’ detailed knowledge of individual students is used as the basis for allocation of students into one of 8 classes at the start of year 11.</w:t>
            </w:r>
          </w:p>
          <w:p w:rsidR="008D56A4" w:rsidRPr="008D56A4" w:rsidRDefault="008D56A4" w:rsidP="008D56A4">
            <w:pPr>
              <w:spacing w:after="0" w:line="240" w:lineRule="auto"/>
              <w:ind w:leftChars="0" w:left="0" w:firstLineChars="0" w:firstLine="0"/>
              <w:rPr>
                <w:b/>
                <w:i/>
                <w:color w:val="0000CC"/>
              </w:rPr>
            </w:pPr>
            <w:r w:rsidRPr="008D56A4">
              <w:rPr>
                <w:b/>
                <w:i/>
                <w:color w:val="0000CC"/>
              </w:rPr>
              <w:t>BESOPKE LEARNING JOURNEY</w:t>
            </w:r>
          </w:p>
          <w:p w:rsidR="004D3F2B" w:rsidRPr="008D56A4" w:rsidRDefault="004D3F2B" w:rsidP="004D3F2B">
            <w:pPr>
              <w:pStyle w:val="ListParagraph"/>
              <w:numPr>
                <w:ilvl w:val="0"/>
                <w:numId w:val="23"/>
              </w:numPr>
              <w:spacing w:after="0" w:line="240" w:lineRule="auto"/>
              <w:ind w:leftChars="0" w:firstLineChars="0"/>
            </w:pPr>
            <w:r w:rsidRPr="008D56A4">
              <w:t>Each class then has a bespoke learning journey planned to ensure the best possible progress towards achieving the best possible grade in their public exams.</w:t>
            </w:r>
          </w:p>
          <w:p w:rsidR="004D3F2B" w:rsidRPr="008D56A4" w:rsidRDefault="004D3F2B" w:rsidP="004D3F2B">
            <w:pPr>
              <w:pStyle w:val="ListParagraph"/>
              <w:numPr>
                <w:ilvl w:val="0"/>
                <w:numId w:val="23"/>
              </w:numPr>
              <w:spacing w:after="0" w:line="240" w:lineRule="auto"/>
              <w:ind w:leftChars="0" w:firstLineChars="0"/>
            </w:pPr>
            <w:r w:rsidRPr="008D56A4">
              <w:t>This is not pre-determined but depends on a serious analysis of where students are at in each case at the end of year 10.</w:t>
            </w:r>
          </w:p>
          <w:p w:rsidR="004D3F2B" w:rsidRPr="008D56A4" w:rsidRDefault="004D3F2B" w:rsidP="004D3F2B">
            <w:pPr>
              <w:pStyle w:val="ListParagraph"/>
              <w:numPr>
                <w:ilvl w:val="0"/>
                <w:numId w:val="23"/>
              </w:numPr>
              <w:spacing w:after="0" w:line="240" w:lineRule="auto"/>
              <w:ind w:leftChars="0" w:firstLineChars="0"/>
            </w:pPr>
            <w:r w:rsidRPr="008D56A4">
              <w:t>For some students- those in classes aiming for the very highest grades- the focus will be on teaching the more challenging topics at a level which gives access to those top grades.</w:t>
            </w:r>
          </w:p>
          <w:p w:rsidR="004D3F2B" w:rsidRPr="008D56A4" w:rsidRDefault="004D3F2B" w:rsidP="004D3F2B">
            <w:pPr>
              <w:pStyle w:val="ListParagraph"/>
              <w:numPr>
                <w:ilvl w:val="0"/>
                <w:numId w:val="23"/>
              </w:numPr>
              <w:spacing w:after="0" w:line="240" w:lineRule="auto"/>
              <w:ind w:leftChars="0" w:firstLineChars="0"/>
            </w:pPr>
            <w:r w:rsidRPr="008D56A4">
              <w:t>These students will also be offered the chance to prepare for the additional “Further Maths” GCSE- which is an excellent preparation for studying A Level Maths.</w:t>
            </w:r>
          </w:p>
          <w:p w:rsidR="004D3F2B" w:rsidRPr="008D56A4" w:rsidRDefault="004D3F2B" w:rsidP="004D3F2B">
            <w:pPr>
              <w:pStyle w:val="ListParagraph"/>
              <w:numPr>
                <w:ilvl w:val="0"/>
                <w:numId w:val="23"/>
              </w:numPr>
              <w:spacing w:after="0" w:line="240" w:lineRule="auto"/>
              <w:ind w:leftChars="0" w:firstLineChars="0"/>
            </w:pPr>
            <w:r w:rsidRPr="008D56A4">
              <w:t>Other classes will be, for example, focussed on ensuring</w:t>
            </w:r>
            <w:bookmarkStart w:id="0" w:name="_GoBack"/>
            <w:bookmarkEnd w:id="0"/>
            <w:r w:rsidRPr="008D56A4">
              <w:t xml:space="preserve"> gaps in understanding which are preventing a student from achieving a good grade 5 at GCSE are filled.</w:t>
            </w:r>
          </w:p>
          <w:p w:rsidR="004D3F2B" w:rsidRPr="008D56A4" w:rsidRDefault="008D56A4" w:rsidP="00660D7C">
            <w:pPr>
              <w:pStyle w:val="ListParagraph"/>
              <w:numPr>
                <w:ilvl w:val="0"/>
                <w:numId w:val="23"/>
              </w:numPr>
              <w:spacing w:after="0" w:line="240" w:lineRule="auto"/>
              <w:ind w:leftChars="0" w:firstLineChars="0"/>
            </w:pPr>
            <w:r w:rsidRPr="008D56A4">
              <w:t>This can be by preparing for the Higher Tier GCSE or the Foundation Tier GCSE – depending on a student’s particular strengths and weaknesses.</w:t>
            </w:r>
          </w:p>
        </w:tc>
        <w:tc>
          <w:tcPr>
            <w:tcW w:w="5386" w:type="dxa"/>
          </w:tcPr>
          <w:p w:rsidR="008D56A4" w:rsidRDefault="008D56A4" w:rsidP="008D56A4">
            <w:pPr>
              <w:spacing w:after="0" w:line="240" w:lineRule="auto"/>
              <w:ind w:leftChars="0" w:left="0" w:firstLineChars="0" w:firstLine="0"/>
              <w:rPr>
                <w:b/>
                <w:i/>
                <w:color w:val="0000CC"/>
              </w:rPr>
            </w:pPr>
          </w:p>
          <w:p w:rsidR="008D56A4" w:rsidRPr="008D56A4" w:rsidRDefault="008D56A4" w:rsidP="008D56A4">
            <w:pPr>
              <w:spacing w:after="0" w:line="240" w:lineRule="auto"/>
              <w:ind w:leftChars="0" w:left="0" w:firstLineChars="0" w:firstLine="0"/>
              <w:rPr>
                <w:b/>
                <w:i/>
                <w:color w:val="0000CC"/>
              </w:rPr>
            </w:pPr>
            <w:r w:rsidRPr="008D56A4">
              <w:rPr>
                <w:b/>
                <w:i/>
                <w:color w:val="0000CC"/>
              </w:rPr>
              <w:t>OPPORTUNITIES FOR ALL</w:t>
            </w:r>
          </w:p>
          <w:p w:rsidR="008D56A4" w:rsidRPr="008D56A4" w:rsidRDefault="008D56A4" w:rsidP="008D56A4">
            <w:pPr>
              <w:pStyle w:val="ListParagraph"/>
              <w:numPr>
                <w:ilvl w:val="0"/>
                <w:numId w:val="23"/>
              </w:numPr>
              <w:spacing w:after="0" w:line="240" w:lineRule="auto"/>
              <w:ind w:leftChars="0" w:firstLineChars="0"/>
            </w:pPr>
            <w:r w:rsidRPr="008D56A4">
              <w:t>None of the class allocations at the start of year 11 are fixed- and students always have opportunities to move depending on how well they are doing during the course of year 11.</w:t>
            </w:r>
          </w:p>
          <w:p w:rsidR="008D56A4" w:rsidRPr="008D56A4" w:rsidRDefault="008D56A4" w:rsidP="00660D7C">
            <w:pPr>
              <w:pStyle w:val="ListParagraph"/>
              <w:numPr>
                <w:ilvl w:val="0"/>
                <w:numId w:val="23"/>
              </w:numPr>
              <w:spacing w:after="0" w:line="240" w:lineRule="auto"/>
              <w:ind w:leftChars="0" w:firstLineChars="0"/>
            </w:pPr>
            <w:r w:rsidRPr="008D56A4">
              <w:t>In every case we are more than happy to meet with and discuss with students and their families the detailed plan for particular classes and students.</w:t>
            </w:r>
          </w:p>
          <w:p w:rsidR="008D56A4" w:rsidRPr="008D56A4" w:rsidRDefault="008D56A4" w:rsidP="008D56A4">
            <w:pPr>
              <w:spacing w:after="0" w:line="240" w:lineRule="auto"/>
              <w:ind w:leftChars="0" w:left="0" w:firstLineChars="0" w:firstLine="0"/>
              <w:rPr>
                <w:b/>
                <w:i/>
                <w:color w:val="0000CC"/>
              </w:rPr>
            </w:pPr>
            <w:r w:rsidRPr="008D56A4">
              <w:rPr>
                <w:b/>
                <w:i/>
                <w:color w:val="0000CC"/>
              </w:rPr>
              <w:t>NOVEMBER A KEY MILESTONE</w:t>
            </w:r>
          </w:p>
          <w:p w:rsidR="008D56A4" w:rsidRPr="008D56A4" w:rsidRDefault="008D56A4" w:rsidP="008D56A4">
            <w:pPr>
              <w:pStyle w:val="ListParagraph"/>
              <w:numPr>
                <w:ilvl w:val="0"/>
                <w:numId w:val="23"/>
              </w:numPr>
              <w:spacing w:after="0" w:line="240" w:lineRule="auto"/>
              <w:ind w:leftChars="0" w:firstLineChars="0"/>
            </w:pPr>
            <w:r w:rsidRPr="008D56A4">
              <w:t xml:space="preserve">A key milestone is of course the second </w:t>
            </w:r>
            <w:proofErr w:type="gramStart"/>
            <w:r w:rsidRPr="008D56A4">
              <w:t>Pre Public</w:t>
            </w:r>
            <w:proofErr w:type="gramEnd"/>
            <w:r w:rsidRPr="008D56A4">
              <w:t xml:space="preserve"> Exam – a full “mock” GCSE again- that students sit in the November of year 11.</w:t>
            </w:r>
          </w:p>
          <w:p w:rsidR="00E70612" w:rsidRPr="008D56A4" w:rsidRDefault="008D56A4" w:rsidP="008D56A4">
            <w:pPr>
              <w:pStyle w:val="ListParagraph"/>
              <w:numPr>
                <w:ilvl w:val="0"/>
                <w:numId w:val="23"/>
              </w:numPr>
              <w:spacing w:after="0" w:line="240" w:lineRule="auto"/>
              <w:ind w:leftChars="0" w:firstLineChars="0"/>
            </w:pPr>
            <w:r w:rsidRPr="008D56A4">
              <w:t>This allows students and staff to see where students are now at and again make detailed plans on how to refine and focus the teaching after that</w:t>
            </w:r>
            <w:r w:rsidRPr="008D56A4">
              <w:t>.</w:t>
            </w:r>
          </w:p>
          <w:p w:rsidR="008D56A4" w:rsidRPr="008D56A4" w:rsidRDefault="008D56A4" w:rsidP="00660D7C">
            <w:pPr>
              <w:pStyle w:val="ListParagraph"/>
              <w:numPr>
                <w:ilvl w:val="0"/>
                <w:numId w:val="23"/>
              </w:numPr>
              <w:spacing w:after="0" w:line="240" w:lineRule="auto"/>
              <w:ind w:leftChars="0" w:firstLineChars="0"/>
            </w:pPr>
            <w:r w:rsidRPr="008D56A4">
              <w:t xml:space="preserve">Staff conduct a detailed analysis of all question </w:t>
            </w:r>
            <w:proofErr w:type="spellStart"/>
            <w:r w:rsidRPr="008D56A4">
              <w:t>answers i</w:t>
            </w:r>
            <w:proofErr w:type="spellEnd"/>
            <w:r w:rsidRPr="008D56A4">
              <w:t>n this PPE and use this to plan further teaching aimed at maximising the grade each student can achieve.</w:t>
            </w:r>
          </w:p>
          <w:p w:rsidR="008D56A4" w:rsidRPr="008D56A4" w:rsidRDefault="008D56A4" w:rsidP="008D56A4">
            <w:pPr>
              <w:spacing w:after="0" w:line="240" w:lineRule="auto"/>
              <w:ind w:leftChars="0" w:left="0" w:firstLineChars="0" w:firstLine="0"/>
              <w:rPr>
                <w:b/>
                <w:i/>
                <w:color w:val="0000CC"/>
              </w:rPr>
            </w:pPr>
            <w:r w:rsidRPr="008D56A4">
              <w:rPr>
                <w:b/>
                <w:i/>
                <w:color w:val="0000CC"/>
              </w:rPr>
              <w:t>FINAL PREPARATIONS</w:t>
            </w:r>
          </w:p>
          <w:p w:rsidR="008D56A4" w:rsidRDefault="008D56A4" w:rsidP="008D56A4">
            <w:pPr>
              <w:pStyle w:val="ListParagraph"/>
              <w:numPr>
                <w:ilvl w:val="0"/>
                <w:numId w:val="23"/>
              </w:numPr>
              <w:spacing w:after="0" w:line="240" w:lineRule="auto"/>
              <w:ind w:leftChars="0" w:firstLineChars="0"/>
            </w:pPr>
            <w:r w:rsidRPr="008D56A4">
              <w:t xml:space="preserve">In February of year </w:t>
            </w:r>
            <w:proofErr w:type="spellStart"/>
            <w:r w:rsidRPr="008D56A4">
              <w:t>year</w:t>
            </w:r>
            <w:proofErr w:type="spellEnd"/>
            <w:r w:rsidRPr="008D56A4">
              <w:t xml:space="preserve"> 11 in the spring term students sit their final Pre-Public Exam and again this is used for ensuring the final run in to the public exams in May and June as tightly focused on what each </w:t>
            </w:r>
            <w:proofErr w:type="gramStart"/>
            <w:r w:rsidRPr="008D56A4">
              <w:t>students</w:t>
            </w:r>
            <w:proofErr w:type="gramEnd"/>
            <w:r w:rsidRPr="008D56A4">
              <w:t xml:space="preserve"> needs to do and to learn to succeed in the public examinations.</w:t>
            </w:r>
          </w:p>
          <w:p w:rsidR="008D56A4" w:rsidRPr="00660D7C" w:rsidRDefault="008D56A4" w:rsidP="008D56A4">
            <w:pPr>
              <w:spacing w:after="0" w:line="240" w:lineRule="auto"/>
              <w:ind w:leftChars="0" w:left="0" w:firstLineChars="0" w:firstLine="0"/>
              <w:rPr>
                <w:b/>
                <w:i/>
                <w:color w:val="0000CC"/>
              </w:rPr>
            </w:pPr>
            <w:r w:rsidRPr="00660D7C">
              <w:rPr>
                <w:b/>
                <w:i/>
                <w:color w:val="0000CC"/>
              </w:rPr>
              <w:t>STUDENTS</w:t>
            </w:r>
            <w:r w:rsidR="00946CCD">
              <w:rPr>
                <w:b/>
                <w:i/>
                <w:color w:val="0000CC"/>
              </w:rPr>
              <w:t>,</w:t>
            </w:r>
            <w:r w:rsidRPr="00660D7C">
              <w:rPr>
                <w:b/>
                <w:i/>
                <w:color w:val="0000CC"/>
              </w:rPr>
              <w:t xml:space="preserve"> FAMILIES AND STAFF WORKING TOGETHER</w:t>
            </w:r>
          </w:p>
          <w:p w:rsidR="008D56A4" w:rsidRPr="008D56A4" w:rsidRDefault="008D56A4" w:rsidP="008D56A4">
            <w:pPr>
              <w:pStyle w:val="ListParagraph"/>
              <w:numPr>
                <w:ilvl w:val="0"/>
                <w:numId w:val="23"/>
              </w:numPr>
              <w:spacing w:after="0" w:line="240" w:lineRule="auto"/>
              <w:ind w:leftChars="0" w:firstLineChars="0"/>
            </w:pPr>
            <w:r>
              <w:t>We strongl</w:t>
            </w:r>
            <w:r w:rsidR="00660D7C">
              <w:t xml:space="preserve">y </w:t>
            </w:r>
            <w:r>
              <w:t>belie</w:t>
            </w:r>
            <w:r w:rsidR="00660D7C">
              <w:t>v</w:t>
            </w:r>
            <w:r>
              <w:t>e that success in year 11 depends on school staff, students and their f</w:t>
            </w:r>
            <w:r w:rsidR="00660D7C">
              <w:t>a</w:t>
            </w:r>
            <w:r>
              <w:t>mil</w:t>
            </w:r>
            <w:r w:rsidR="00660D7C">
              <w:t>i</w:t>
            </w:r>
            <w:r>
              <w:t>es all wo</w:t>
            </w:r>
            <w:r w:rsidR="00660D7C">
              <w:t>r</w:t>
            </w:r>
            <w:r>
              <w:t xml:space="preserve">king together to help students through what can be a challenging year and to achieve the best possible outcomes. </w:t>
            </w:r>
            <w:r w:rsidR="00660D7C">
              <w:t>We always welcome dialogue with students and their families. Please contact the m</w:t>
            </w:r>
            <w:r w:rsidR="00946CCD">
              <w:t>a</w:t>
            </w:r>
            <w:r w:rsidR="00660D7C">
              <w:t>ths department at any time of you want to talk about your child’s progress and what we can all do to help them achieve their best.</w:t>
            </w:r>
          </w:p>
        </w:tc>
      </w:tr>
    </w:tbl>
    <w:p w:rsidR="00535C12" w:rsidRPr="00F248B3" w:rsidRDefault="00535C12" w:rsidP="00451A38">
      <w:pPr>
        <w:ind w:leftChars="0" w:left="0" w:firstLineChars="0" w:firstLine="0"/>
        <w:rPr>
          <w:lang w:val="en-US"/>
        </w:rPr>
      </w:pPr>
    </w:p>
    <w:sectPr w:rsidR="00535C12" w:rsidRPr="00F248B3" w:rsidSect="00451A38">
      <w:pgSz w:w="11906" w:h="16838"/>
      <w:pgMar w:top="426" w:right="720" w:bottom="284"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die Flow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753"/>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A60235"/>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5C682B"/>
    <w:multiLevelType w:val="multilevel"/>
    <w:tmpl w:val="14E88F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A255C6"/>
    <w:multiLevelType w:val="hybridMultilevel"/>
    <w:tmpl w:val="8F02EACA"/>
    <w:lvl w:ilvl="0" w:tplc="0809000F">
      <w:start w:val="1"/>
      <w:numFmt w:val="decimal"/>
      <w:lvlText w:val="%1."/>
      <w:lvlJc w:val="left"/>
      <w:pPr>
        <w:ind w:left="360"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 w15:restartNumberingAfterBreak="0">
    <w:nsid w:val="1EB11F6A"/>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061629A"/>
    <w:multiLevelType w:val="multilevel"/>
    <w:tmpl w:val="DF1A63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C420A8F"/>
    <w:multiLevelType w:val="multilevel"/>
    <w:tmpl w:val="A198EBD8"/>
    <w:lvl w:ilvl="0">
      <w:start w:val="1"/>
      <w:numFmt w:val="decimal"/>
      <w:lvlText w:val="%1."/>
      <w:lvlJc w:val="left"/>
      <w:pPr>
        <w:ind w:left="724" w:hanging="36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7" w15:restartNumberingAfterBreak="0">
    <w:nsid w:val="30B53E5E"/>
    <w:multiLevelType w:val="hybridMultilevel"/>
    <w:tmpl w:val="8F02EACA"/>
    <w:lvl w:ilvl="0" w:tplc="0809000F">
      <w:start w:val="1"/>
      <w:numFmt w:val="decimal"/>
      <w:lvlText w:val="%1."/>
      <w:lvlJc w:val="left"/>
      <w:pPr>
        <w:ind w:left="360"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8" w15:restartNumberingAfterBreak="0">
    <w:nsid w:val="32DD1725"/>
    <w:multiLevelType w:val="multilevel"/>
    <w:tmpl w:val="1D76A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0EC561E"/>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2ED483B"/>
    <w:multiLevelType w:val="multilevel"/>
    <w:tmpl w:val="A4FE2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131EAE"/>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575022"/>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2E0ACA"/>
    <w:multiLevelType w:val="hybridMultilevel"/>
    <w:tmpl w:val="C330A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5855D4"/>
    <w:multiLevelType w:val="multilevel"/>
    <w:tmpl w:val="A6904F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i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3F93432"/>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4620C1A"/>
    <w:multiLevelType w:val="multilevel"/>
    <w:tmpl w:val="6D1E6FDE"/>
    <w:lvl w:ilvl="0">
      <w:start w:val="1"/>
      <w:numFmt w:val="decimal"/>
      <w:lvlText w:val="%1."/>
      <w:lvlJc w:val="left"/>
      <w:pPr>
        <w:ind w:left="36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5903B7D"/>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6CA566A"/>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AD566E4"/>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4227FC3"/>
    <w:multiLevelType w:val="hybridMultilevel"/>
    <w:tmpl w:val="0C149EFA"/>
    <w:lvl w:ilvl="0" w:tplc="E5AA39C8">
      <w:numFmt w:val="bullet"/>
      <w:lvlText w:val="-"/>
      <w:lvlJc w:val="left"/>
      <w:pPr>
        <w:ind w:left="358" w:hanging="360"/>
      </w:pPr>
      <w:rPr>
        <w:rFonts w:ascii="Calibri" w:eastAsia="Calibri"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1" w15:restartNumberingAfterBreak="0">
    <w:nsid w:val="7479142F"/>
    <w:multiLevelType w:val="multilevel"/>
    <w:tmpl w:val="A6904F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i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E305684"/>
    <w:multiLevelType w:val="multilevel"/>
    <w:tmpl w:val="E036FABC"/>
    <w:lvl w:ilvl="0">
      <w:start w:val="1"/>
      <w:numFmt w:val="decimal"/>
      <w:lvlText w:val="%1."/>
      <w:lvlJc w:val="left"/>
      <w:pPr>
        <w:ind w:left="720" w:hanging="360"/>
      </w:pPr>
      <w:rPr>
        <w:i w:val="0"/>
        <w:color w:val="auto"/>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5"/>
  </w:num>
  <w:num w:numId="3">
    <w:abstractNumId w:val="8"/>
  </w:num>
  <w:num w:numId="4">
    <w:abstractNumId w:val="9"/>
  </w:num>
  <w:num w:numId="5">
    <w:abstractNumId w:val="2"/>
  </w:num>
  <w:num w:numId="6">
    <w:abstractNumId w:val="6"/>
  </w:num>
  <w:num w:numId="7">
    <w:abstractNumId w:val="1"/>
  </w:num>
  <w:num w:numId="8">
    <w:abstractNumId w:val="11"/>
  </w:num>
  <w:num w:numId="9">
    <w:abstractNumId w:val="12"/>
  </w:num>
  <w:num w:numId="10">
    <w:abstractNumId w:val="21"/>
  </w:num>
  <w:num w:numId="11">
    <w:abstractNumId w:val="14"/>
  </w:num>
  <w:num w:numId="12">
    <w:abstractNumId w:val="22"/>
  </w:num>
  <w:num w:numId="13">
    <w:abstractNumId w:val="17"/>
  </w:num>
  <w:num w:numId="14">
    <w:abstractNumId w:val="19"/>
  </w:num>
  <w:num w:numId="15">
    <w:abstractNumId w:val="4"/>
  </w:num>
  <w:num w:numId="16">
    <w:abstractNumId w:val="15"/>
  </w:num>
  <w:num w:numId="17">
    <w:abstractNumId w:val="16"/>
  </w:num>
  <w:num w:numId="18">
    <w:abstractNumId w:val="3"/>
  </w:num>
  <w:num w:numId="19">
    <w:abstractNumId w:val="0"/>
  </w:num>
  <w:num w:numId="20">
    <w:abstractNumId w:val="7"/>
  </w:num>
  <w:num w:numId="21">
    <w:abstractNumId w:val="18"/>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12"/>
    <w:rsid w:val="0011460A"/>
    <w:rsid w:val="001353D5"/>
    <w:rsid w:val="00290E32"/>
    <w:rsid w:val="00291F3C"/>
    <w:rsid w:val="002E3C51"/>
    <w:rsid w:val="00311380"/>
    <w:rsid w:val="0031169C"/>
    <w:rsid w:val="00450D52"/>
    <w:rsid w:val="00451A38"/>
    <w:rsid w:val="0049604D"/>
    <w:rsid w:val="004D3F2B"/>
    <w:rsid w:val="00535C12"/>
    <w:rsid w:val="005E76D9"/>
    <w:rsid w:val="006425E0"/>
    <w:rsid w:val="00642C91"/>
    <w:rsid w:val="00660D7C"/>
    <w:rsid w:val="006A17B7"/>
    <w:rsid w:val="006D0362"/>
    <w:rsid w:val="007A1C83"/>
    <w:rsid w:val="008D56A4"/>
    <w:rsid w:val="00916969"/>
    <w:rsid w:val="00946CCD"/>
    <w:rsid w:val="0096551A"/>
    <w:rsid w:val="00991FC0"/>
    <w:rsid w:val="00B17C7A"/>
    <w:rsid w:val="00BF2205"/>
    <w:rsid w:val="00CC24F8"/>
    <w:rsid w:val="00D44C8B"/>
    <w:rsid w:val="00D61922"/>
    <w:rsid w:val="00DA3D77"/>
    <w:rsid w:val="00E70612"/>
    <w:rsid w:val="00E857C7"/>
    <w:rsid w:val="00F248B3"/>
    <w:rsid w:val="00FD4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8B89"/>
  <w15:docId w15:val="{1146125A-6F06-4A3A-BB5C-D9E754CB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E70612"/>
    <w:pPr>
      <w:ind w:left="720"/>
      <w:contextualSpacing/>
    </w:pPr>
  </w:style>
  <w:style w:type="character" w:styleId="UnresolvedMention">
    <w:name w:val="Unresolved Mention"/>
    <w:basedOn w:val="DefaultParagraphFont"/>
    <w:uiPriority w:val="99"/>
    <w:semiHidden/>
    <w:unhideWhenUsed/>
    <w:rsid w:val="00B1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2494">
      <w:bodyDiv w:val="1"/>
      <w:marLeft w:val="0"/>
      <w:marRight w:val="0"/>
      <w:marTop w:val="0"/>
      <w:marBottom w:val="0"/>
      <w:divBdr>
        <w:top w:val="none" w:sz="0" w:space="0" w:color="auto"/>
        <w:left w:val="none" w:sz="0" w:space="0" w:color="auto"/>
        <w:bottom w:val="none" w:sz="0" w:space="0" w:color="auto"/>
        <w:right w:val="none" w:sz="0" w:space="0" w:color="auto"/>
      </w:divBdr>
    </w:div>
    <w:div w:id="73585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g0B9o3P+DmloM4jYnXgDv5tj1w==">AMUW2mXI05brlk4JO2tpxJBjPEvQjx50nJ4rGy4KL8A9gKhFRIM7YBslGXaN9jyXMkZ81AooW/jkxk4WkZouKafYnBksubM0jQONI44XxW95+9DehG7/RaM=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Farrow</dc:creator>
  <cp:lastModifiedBy>P McGarr</cp:lastModifiedBy>
  <cp:revision>3</cp:revision>
  <cp:lastPrinted>2020-09-09T13:46:00Z</cp:lastPrinted>
  <dcterms:created xsi:type="dcterms:W3CDTF">2022-11-29T09:06:00Z</dcterms:created>
  <dcterms:modified xsi:type="dcterms:W3CDTF">2022-11-29T09:07:00Z</dcterms:modified>
</cp:coreProperties>
</file>