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EDE" w:rsidRDefault="004D4191">
      <w:pPr>
        <w:ind w:left="0" w:hanging="2"/>
        <w:rPr>
          <w:rFonts w:ascii="Indie Flower" w:eastAsia="Indie Flower" w:hAnsi="Indie Flower" w:cs="Indie Flower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6165215" cy="619125"/>
            <wp:effectExtent l="0" t="0" r="6985" b="9525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6"/>
                    <a:srcRect t="22726"/>
                    <a:stretch/>
                  </pic:blipFill>
                  <pic:spPr bwMode="auto">
                    <a:xfrm>
                      <a:off x="0" y="0"/>
                      <a:ext cx="616521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D7EDE" w:rsidRDefault="00DD7EDE">
      <w:pPr>
        <w:ind w:left="0" w:hanging="2"/>
        <w:jc w:val="center"/>
        <w:rPr>
          <w:sz w:val="24"/>
          <w:szCs w:val="24"/>
        </w:rPr>
      </w:pPr>
    </w:p>
    <w:p w:rsidR="00DD7EDE" w:rsidRPr="005212A3" w:rsidRDefault="004D4191" w:rsidP="000F7B18">
      <w:pPr>
        <w:ind w:left="0" w:hanging="2"/>
        <w:jc w:val="both"/>
        <w:rPr>
          <w:sz w:val="18"/>
          <w:szCs w:val="18"/>
        </w:rPr>
      </w:pPr>
      <w:r w:rsidRPr="005212A3">
        <w:rPr>
          <w:b/>
          <w:color w:val="404040"/>
          <w:sz w:val="18"/>
          <w:szCs w:val="18"/>
          <w:highlight w:val="white"/>
        </w:rPr>
        <w:t>In the mathematics faculty we aim to inspire the mathematician in every student, developing fluency and confidence in using math</w:t>
      </w:r>
      <w:r w:rsidR="0091500B" w:rsidRPr="005212A3">
        <w:rPr>
          <w:b/>
          <w:color w:val="404040"/>
          <w:sz w:val="18"/>
          <w:szCs w:val="18"/>
          <w:highlight w:val="white"/>
        </w:rPr>
        <w:t>s</w:t>
      </w:r>
      <w:r w:rsidRPr="005212A3">
        <w:rPr>
          <w:b/>
          <w:color w:val="404040"/>
          <w:sz w:val="18"/>
          <w:szCs w:val="18"/>
          <w:highlight w:val="white"/>
        </w:rPr>
        <w:t xml:space="preserve"> to reason and solve problems. We seek to do this without placing limits on the attainment of any student and while developing universal human values including anti-racism and challenging sexism, homophobia and other forms of discrimination.</w:t>
      </w:r>
    </w:p>
    <w:tbl>
      <w:tblPr>
        <w:tblStyle w:val="a"/>
        <w:tblW w:w="10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129"/>
        <w:gridCol w:w="5270"/>
      </w:tblGrid>
      <w:tr w:rsidR="00DD7EDE" w:rsidRPr="000F7B18" w:rsidTr="005212A3">
        <w:trPr>
          <w:trHeight w:val="254"/>
          <w:jc w:val="center"/>
        </w:trPr>
        <w:tc>
          <w:tcPr>
            <w:tcW w:w="10539" w:type="dxa"/>
            <w:gridSpan w:val="3"/>
          </w:tcPr>
          <w:p w:rsidR="00DD7EDE" w:rsidRPr="00877A0F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Cs w:val="20"/>
              </w:rPr>
            </w:pPr>
            <w:r w:rsidRPr="00877A0F">
              <w:rPr>
                <w:rFonts w:asciiTheme="majorHAnsi" w:hAnsiTheme="majorHAnsi" w:cstheme="majorHAnsi"/>
                <w:b/>
                <w:i/>
                <w:color w:val="000000"/>
                <w:szCs w:val="20"/>
              </w:rPr>
              <w:t>Year 7 Learning Journey</w:t>
            </w:r>
          </w:p>
        </w:tc>
      </w:tr>
      <w:tr w:rsidR="00DD7EDE" w:rsidRPr="000F7B18" w:rsidTr="005212A3">
        <w:trPr>
          <w:trHeight w:val="254"/>
          <w:jc w:val="center"/>
        </w:trPr>
        <w:tc>
          <w:tcPr>
            <w:tcW w:w="10539" w:type="dxa"/>
            <w:gridSpan w:val="3"/>
          </w:tcPr>
          <w:p w:rsidR="00DD7EDE" w:rsidRPr="000F7B18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Autumn</w:t>
            </w:r>
          </w:p>
        </w:tc>
      </w:tr>
      <w:tr w:rsidR="00754ED4" w:rsidRPr="000F7B18" w:rsidTr="005212A3">
        <w:trPr>
          <w:trHeight w:val="875"/>
          <w:jc w:val="center"/>
        </w:trPr>
        <w:tc>
          <w:tcPr>
            <w:tcW w:w="10539" w:type="dxa"/>
            <w:gridSpan w:val="3"/>
          </w:tcPr>
          <w:p w:rsidR="00754ED4" w:rsidRPr="000F7B18" w:rsidRDefault="00754ED4" w:rsidP="000F7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Integers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- 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What are the elements that all the whole numbers are made of?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The </w:t>
            </w: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language of mathematics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A246E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>Why do we need a universal mathematical language?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Proportional reasoning 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What mathematical magic is there in Harry Potter? 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</w:t>
            </w: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ational number</w:t>
            </w:r>
            <w:r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 -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</w:t>
            </w:r>
            <w:r w:rsidRPr="000F7B1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hat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>’s between the whole numbers on a number line?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DD7EDE" w:rsidRPr="000F7B18" w:rsidTr="005212A3">
        <w:trPr>
          <w:trHeight w:val="3129"/>
          <w:jc w:val="center"/>
        </w:trPr>
        <w:tc>
          <w:tcPr>
            <w:tcW w:w="5140" w:type="dxa"/>
          </w:tcPr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INTEGERS AND BUILDING A MATHEMATICS CLASSROOM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Properties of natural numbers</w:t>
            </w:r>
            <w:r w:rsidR="003E62D7"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Negative numbers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Securing fluency in arithmetic with integers</w:t>
            </w:r>
          </w:p>
          <w:p w:rsidR="006B35C6" w:rsidRPr="005212A3" w:rsidRDefault="006B35C6" w:rsidP="00C03DD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Understanding the importance of prime numbers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How to work and learn in a maths classroom</w:t>
            </w:r>
          </w:p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LANGUAGE OF MATHEMATICS</w:t>
            </w:r>
          </w:p>
          <w:p w:rsidR="00DD7EDE" w:rsidRPr="005212A3" w:rsidRDefault="004D4191" w:rsidP="00C03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Why we need a universal language for mathematics</w:t>
            </w:r>
          </w:p>
          <w:p w:rsidR="00DD7EDE" w:rsidRPr="005212A3" w:rsidRDefault="004D4191" w:rsidP="00C03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The importance of the equals signs</w:t>
            </w:r>
          </w:p>
          <w:p w:rsidR="00DD7EDE" w:rsidRPr="005212A3" w:rsidRDefault="004D4191" w:rsidP="00C03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How arithmetic works </w:t>
            </w:r>
          </w:p>
          <w:p w:rsidR="00DD7EDE" w:rsidRPr="005212A3" w:rsidRDefault="004D4191" w:rsidP="00C03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The idea of a variable</w:t>
            </w:r>
          </w:p>
          <w:p w:rsidR="00DD7EDE" w:rsidRPr="005212A3" w:rsidRDefault="004D4191" w:rsidP="00C03DD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Hypatia and the mathematics of integers</w:t>
            </w:r>
          </w:p>
          <w:p w:rsidR="00DD7EDE" w:rsidRPr="005212A3" w:rsidRDefault="004D4191" w:rsidP="00C03DD4">
            <w:pPr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Euclid, Egypt and the foundations of mathematics</w:t>
            </w:r>
          </w:p>
          <w:p w:rsidR="00DD7EDE" w:rsidRPr="000F7B18" w:rsidRDefault="004D4191" w:rsidP="00C03DD4">
            <w:pPr>
              <w:numPr>
                <w:ilvl w:val="0"/>
                <w:numId w:val="8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Brahmagupta and zero and negatives</w:t>
            </w:r>
          </w:p>
        </w:tc>
        <w:tc>
          <w:tcPr>
            <w:tcW w:w="5398" w:type="dxa"/>
            <w:gridSpan w:val="2"/>
          </w:tcPr>
          <w:p w:rsidR="00DD7EDE" w:rsidRPr="005212A3" w:rsidRDefault="004D419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PROPORTIONAL REASONING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Why multiplication is a key to solving proportion and scaling problems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Ways of representing multiplicative relationships</w:t>
            </w:r>
          </w:p>
          <w:p w:rsidR="00DD7EDE" w:rsidRPr="005212A3" w:rsidRDefault="004D4191" w:rsidP="00C03D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Reasoning with multiplication and scaling</w:t>
            </w:r>
          </w:p>
          <w:p w:rsidR="00C03DD4" w:rsidRPr="005212A3" w:rsidRDefault="00C03DD4" w:rsidP="00C03D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RATIONAL NUMBERS</w:t>
            </w:r>
          </w:p>
          <w:p w:rsidR="00C03DD4" w:rsidRPr="005212A3" w:rsidRDefault="00C03DD4" w:rsidP="00C03D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Equivalence - a key idea in mathematics</w:t>
            </w:r>
          </w:p>
          <w:p w:rsidR="00C03DD4" w:rsidRPr="005212A3" w:rsidRDefault="00C03DD4" w:rsidP="00C03D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Arithmetic with fractions</w:t>
            </w:r>
            <w:r w:rsidR="008A7A02" w:rsidRPr="005212A3">
              <w:rPr>
                <w:rFonts w:asciiTheme="majorHAnsi" w:hAnsiTheme="majorHAnsi" w:cstheme="majorHAnsi"/>
                <w:sz w:val="18"/>
                <w:szCs w:val="18"/>
              </w:rPr>
              <w:t>, d</w:t>
            </w: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ecimals, place value and representing fractions as decimals</w:t>
            </w:r>
          </w:p>
          <w:p w:rsidR="00C03DD4" w:rsidRPr="005212A3" w:rsidRDefault="00C03DD4" w:rsidP="00C03D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Arithmetic with decimals- understanding and fluency</w:t>
            </w:r>
          </w:p>
          <w:p w:rsidR="00C03DD4" w:rsidRPr="005212A3" w:rsidRDefault="008A7A02" w:rsidP="00C03D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03DD4" w:rsidRPr="005212A3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6538D9" w:rsidRPr="005212A3">
              <w:rPr>
                <w:rFonts w:asciiTheme="majorHAnsi" w:hAnsiTheme="majorHAnsi" w:cstheme="majorHAnsi"/>
                <w:sz w:val="18"/>
                <w:szCs w:val="18"/>
              </w:rPr>
              <w:t>Challenge</w:t>
            </w:r>
            <w:r w:rsidR="00C03DD4" w:rsidRPr="005212A3">
              <w:rPr>
                <w:rFonts w:asciiTheme="majorHAnsi" w:hAnsiTheme="majorHAnsi" w:cstheme="majorHAnsi"/>
                <w:sz w:val="18"/>
                <w:szCs w:val="18"/>
              </w:rPr>
              <w:t>) Irrational numbers and approximating them with rational</w:t>
            </w:r>
            <w:r w:rsidR="006538D9"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numbers. </w:t>
            </w:r>
          </w:p>
          <w:p w:rsidR="00DD7EDE" w:rsidRPr="005212A3" w:rsidRDefault="00C03DD4" w:rsidP="00C03D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Ab</w:t>
            </w:r>
            <w:r w:rsidR="003E62D7" w:rsidRPr="005212A3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ul Hasan al-</w:t>
            </w:r>
            <w:proofErr w:type="spellStart"/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Uqlidisi</w:t>
            </w:r>
            <w:proofErr w:type="spellEnd"/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and the origin of decimals</w:t>
            </w:r>
          </w:p>
        </w:tc>
      </w:tr>
      <w:tr w:rsidR="00DD7EDE" w:rsidRPr="000F7B18" w:rsidTr="005212A3">
        <w:trPr>
          <w:trHeight w:val="236"/>
          <w:jc w:val="center"/>
        </w:trPr>
        <w:tc>
          <w:tcPr>
            <w:tcW w:w="10539" w:type="dxa"/>
            <w:gridSpan w:val="3"/>
          </w:tcPr>
          <w:p w:rsidR="00DD7EDE" w:rsidRPr="000F7B18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Spring</w:t>
            </w:r>
          </w:p>
        </w:tc>
      </w:tr>
      <w:tr w:rsidR="005B2EDB" w:rsidRPr="000F7B18" w:rsidTr="005212A3">
        <w:trPr>
          <w:trHeight w:val="471"/>
          <w:jc w:val="center"/>
        </w:trPr>
        <w:tc>
          <w:tcPr>
            <w:tcW w:w="10539" w:type="dxa"/>
            <w:gridSpan w:val="3"/>
          </w:tcPr>
          <w:p w:rsidR="005B2EDB" w:rsidRPr="000F7B18" w:rsidRDefault="005B2EDB" w:rsidP="00994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Grid Algebra I 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What’s the point of algebra? </w:t>
            </w: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Introduction to shape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 Which shape contains the biggest area? </w:t>
            </w: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Introduction to Ratio.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7B18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 xml:space="preserve">How can you know whether two paint mixes will give the same </w:t>
            </w:r>
            <w:proofErr w:type="spellStart"/>
            <w:r w:rsidRPr="000F7B18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colour</w:t>
            </w:r>
            <w:proofErr w:type="spellEnd"/>
            <w:r w:rsidRPr="000F7B18">
              <w:rPr>
                <w:rFonts w:asciiTheme="majorHAnsi" w:hAnsiTheme="majorHAnsi" w:cstheme="majorHAnsi"/>
                <w:bCs/>
                <w:sz w:val="20"/>
                <w:szCs w:val="20"/>
                <w:lang w:val="en-US"/>
              </w:rPr>
              <w:t>?</w:t>
            </w:r>
          </w:p>
        </w:tc>
      </w:tr>
      <w:tr w:rsidR="00D450F9" w:rsidRPr="000F7B18" w:rsidTr="005212A3">
        <w:trPr>
          <w:trHeight w:val="3137"/>
          <w:jc w:val="center"/>
        </w:trPr>
        <w:tc>
          <w:tcPr>
            <w:tcW w:w="5269" w:type="dxa"/>
            <w:gridSpan w:val="2"/>
          </w:tcPr>
          <w:p w:rsidR="00D450F9" w:rsidRPr="005212A3" w:rsidRDefault="00D450F9" w:rsidP="00C03DD4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GRID ALGEBRA 1</w:t>
            </w:r>
          </w:p>
          <w:p w:rsidR="00D450F9" w:rsidRPr="005212A3" w:rsidRDefault="00D450F9" w:rsidP="00C03D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Equivalent calculations in arithmetic</w:t>
            </w:r>
          </w:p>
          <w:p w:rsidR="00D450F9" w:rsidRPr="005212A3" w:rsidRDefault="00D450F9" w:rsidP="00C03D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Generalising from arithmetic to algebra and equivalent expressions in algebra</w:t>
            </w:r>
          </w:p>
          <w:p w:rsidR="00D450F9" w:rsidRPr="005212A3" w:rsidRDefault="00D450F9" w:rsidP="00C03D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The laws of algebra</w:t>
            </w:r>
          </w:p>
          <w:p w:rsidR="00D450F9" w:rsidRPr="005212A3" w:rsidRDefault="00D450F9" w:rsidP="00C03DD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Manipulating and simplifying expressions using equivalence- collecting like terms, expanding, simplifying, substitution</w:t>
            </w:r>
          </w:p>
          <w:p w:rsidR="00D450F9" w:rsidRPr="005212A3" w:rsidRDefault="006B35C6" w:rsidP="00A51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INTRODUCTION TO SHAPE</w:t>
            </w:r>
          </w:p>
          <w:p w:rsidR="00D450F9" w:rsidRPr="005212A3" w:rsidRDefault="00D450F9" w:rsidP="00A5153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What is perimeter and area. </w:t>
            </w:r>
          </w:p>
          <w:p w:rsidR="00D450F9" w:rsidRPr="005212A3" w:rsidRDefault="00D450F9" w:rsidP="00A5153B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Estimating perimeter and area for irregular shapes</w:t>
            </w:r>
          </w:p>
          <w:p w:rsidR="00D450F9" w:rsidRPr="005212A3" w:rsidRDefault="00D450F9" w:rsidP="005212A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Finding formulas for working out areas of regular shapes</w:t>
            </w:r>
            <w:r w:rsidR="005212A3"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212A3" w:rsidRPr="005212A3">
              <w:rPr>
                <w:rFonts w:asciiTheme="majorHAnsi" w:hAnsiTheme="majorHAnsi" w:cstheme="majorHAnsi"/>
                <w:sz w:val="18"/>
                <w:szCs w:val="18"/>
              </w:rPr>
              <w:t>Solving problems with area and perimeter using algebra and coordinate geometry</w:t>
            </w:r>
            <w:bookmarkStart w:id="0" w:name="_GoBack"/>
            <w:bookmarkEnd w:id="0"/>
          </w:p>
        </w:tc>
        <w:tc>
          <w:tcPr>
            <w:tcW w:w="5269" w:type="dxa"/>
          </w:tcPr>
          <w:p w:rsidR="005212A3" w:rsidRPr="005212A3" w:rsidRDefault="005212A3" w:rsidP="005212A3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The Greek and Latin roots of much mathematical language</w:t>
            </w:r>
          </w:p>
          <w:p w:rsidR="005212A3" w:rsidRDefault="005212A3" w:rsidP="0052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</w:p>
          <w:p w:rsidR="00D450F9" w:rsidRPr="000F7B18" w:rsidRDefault="006B35C6" w:rsidP="0019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0000FF"/>
                <w:sz w:val="20"/>
                <w:szCs w:val="20"/>
              </w:rPr>
              <w:t>GEOMETRIC REASONING 1</w:t>
            </w:r>
          </w:p>
          <w:p w:rsidR="00D450F9" w:rsidRPr="00954DE9" w:rsidRDefault="00D450F9" w:rsidP="00954DE9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4DE9">
              <w:rPr>
                <w:rFonts w:asciiTheme="majorHAnsi" w:hAnsiTheme="majorHAnsi" w:cstheme="majorHAnsi"/>
                <w:sz w:val="20"/>
                <w:szCs w:val="20"/>
              </w:rPr>
              <w:t xml:space="preserve">What is </w:t>
            </w:r>
            <w:r w:rsidR="006B35C6">
              <w:rPr>
                <w:rFonts w:asciiTheme="majorHAnsi" w:hAnsiTheme="majorHAnsi" w:cstheme="majorHAnsi"/>
                <w:sz w:val="20"/>
                <w:szCs w:val="20"/>
              </w:rPr>
              <w:t>angle?</w:t>
            </w:r>
          </w:p>
          <w:p w:rsid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Drawing and measuring angles</w:t>
            </w:r>
          </w:p>
          <w:p w:rsid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 w:rsidRPr="006B35C6">
              <w:rPr>
                <w:rFonts w:asciiTheme="majorHAnsi" w:hAnsiTheme="majorHAnsi" w:cstheme="majorHAnsi"/>
                <w:sz w:val="20"/>
                <w:szCs w:val="20"/>
              </w:rPr>
              <w:t>Language of lines</w:t>
            </w:r>
          </w:p>
          <w:p w:rsidR="006B35C6" w:rsidRP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Reasoning with angles</w:t>
            </w:r>
          </w:p>
          <w:p w:rsid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Translations and vectors</w:t>
            </w:r>
          </w:p>
          <w:p w:rsid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Rotations</w:t>
            </w:r>
          </w:p>
          <w:p w:rsid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Parallel lines and angles</w:t>
            </w:r>
          </w:p>
          <w:p w:rsidR="006B35C6" w:rsidRPr="006B35C6" w:rsidRDefault="006B35C6" w:rsidP="006B35C6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Proving the angle sum in a triangle</w:t>
            </w:r>
          </w:p>
          <w:p w:rsidR="00D450F9" w:rsidRPr="00954DE9" w:rsidRDefault="00D450F9" w:rsidP="006B35C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6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D7EDE" w:rsidRPr="000F7B18" w:rsidTr="005212A3">
        <w:trPr>
          <w:trHeight w:val="254"/>
          <w:jc w:val="center"/>
        </w:trPr>
        <w:tc>
          <w:tcPr>
            <w:tcW w:w="10539" w:type="dxa"/>
            <w:gridSpan w:val="3"/>
          </w:tcPr>
          <w:p w:rsidR="00DD7EDE" w:rsidRPr="000F7B18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Summer</w:t>
            </w:r>
          </w:p>
        </w:tc>
      </w:tr>
      <w:tr w:rsidR="004D09A6" w:rsidRPr="000F7B18" w:rsidTr="005212A3">
        <w:trPr>
          <w:trHeight w:val="472"/>
          <w:jc w:val="center"/>
        </w:trPr>
        <w:tc>
          <w:tcPr>
            <w:tcW w:w="10539" w:type="dxa"/>
            <w:gridSpan w:val="3"/>
          </w:tcPr>
          <w:p w:rsidR="004D09A6" w:rsidRPr="000F7B18" w:rsidRDefault="004D09A6" w:rsidP="004D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Collecting and Representing data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0F7B18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How could we work out the average height of a student in year 7?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0F7B1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Estimation 1 – </w:t>
            </w:r>
            <w:r w:rsidRPr="000F7B18">
              <w:rPr>
                <w:rFonts w:asciiTheme="majorHAnsi" w:hAnsiTheme="majorHAnsi" w:cstheme="majorHAnsi"/>
                <w:bCs/>
                <w:sz w:val="20"/>
                <w:szCs w:val="20"/>
              </w:rPr>
              <w:t>If I launched a rocket to the moon, and I was 1° off, how badly would I miss?</w:t>
            </w:r>
          </w:p>
        </w:tc>
      </w:tr>
      <w:tr w:rsidR="00DD7EDE" w:rsidRPr="000F7B18" w:rsidTr="005212A3">
        <w:trPr>
          <w:trHeight w:val="1601"/>
          <w:jc w:val="center"/>
        </w:trPr>
        <w:tc>
          <w:tcPr>
            <w:tcW w:w="5140" w:type="dxa"/>
          </w:tcPr>
          <w:p w:rsidR="00197E52" w:rsidRPr="005212A3" w:rsidRDefault="005212A3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 xml:space="preserve">COLLECTING AND REPRESENTING </w:t>
            </w:r>
            <w:r w:rsidR="00197E52"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DATA</w:t>
            </w:r>
          </w:p>
          <w:p w:rsidR="00197E52" w:rsidRPr="005212A3" w:rsidRDefault="00197E52" w:rsidP="00197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Collecting data</w:t>
            </w:r>
          </w:p>
          <w:p w:rsidR="00197E52" w:rsidRPr="005212A3" w:rsidRDefault="00197E52" w:rsidP="00197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Representing data- pictograms, infographics. bar and vertical line charts, pie charts, </w:t>
            </w:r>
            <w:r w:rsidR="008A7A02" w:rsidRPr="005212A3">
              <w:rPr>
                <w:rFonts w:asciiTheme="majorHAnsi" w:hAnsiTheme="majorHAnsi" w:cstheme="majorHAnsi"/>
                <w:sz w:val="18"/>
                <w:szCs w:val="18"/>
              </w:rPr>
              <w:t>two-way</w:t>
            </w: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tables</w:t>
            </w:r>
          </w:p>
          <w:p w:rsidR="00197E52" w:rsidRPr="005212A3" w:rsidRDefault="00197E52" w:rsidP="00197E5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Calculating with and interpreting data- common errors, drawing conclusions, communicating.</w:t>
            </w:r>
          </w:p>
          <w:p w:rsidR="00DD7EDE" w:rsidRPr="000F7B18" w:rsidRDefault="00197E52" w:rsidP="00205EB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Chars="0" w:firstLineChars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Data in context and carrying out a project.</w:t>
            </w:r>
            <w:r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gridSpan w:val="2"/>
          </w:tcPr>
          <w:p w:rsidR="00197E52" w:rsidRPr="005212A3" w:rsidRDefault="00197E52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i/>
                <w:color w:val="0000FF"/>
                <w:sz w:val="18"/>
                <w:szCs w:val="18"/>
              </w:rPr>
              <w:t>ESTIMATION 1</w:t>
            </w:r>
          </w:p>
          <w:p w:rsidR="00197E52" w:rsidRPr="005212A3" w:rsidRDefault="00197E52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1. Estimating everyday objects.</w:t>
            </w:r>
          </w:p>
          <w:p w:rsidR="00197E52" w:rsidRPr="005212A3" w:rsidRDefault="00197E52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2. Rounding with integers and decimals. </w:t>
            </w:r>
          </w:p>
          <w:p w:rsidR="00197E52" w:rsidRPr="005212A3" w:rsidRDefault="00197E52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3. </w:t>
            </w:r>
            <w:r w:rsidR="005212A3" w:rsidRPr="005212A3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ounding with significant figures. </w:t>
            </w:r>
          </w:p>
          <w:p w:rsidR="005212A3" w:rsidRPr="005212A3" w:rsidRDefault="005212A3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>4. Sensible rounding- square and cube roots, calculations in context</w:t>
            </w:r>
          </w:p>
          <w:p w:rsidR="00197E52" w:rsidRPr="000F7B18" w:rsidRDefault="00197E52" w:rsidP="00197E52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DD7EDE" w:rsidRPr="000F7B18" w:rsidRDefault="00DD7EDE" w:rsidP="00197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D7EDE" w:rsidRPr="000F7B18" w:rsidTr="005212A3">
        <w:trPr>
          <w:trHeight w:val="1695"/>
          <w:jc w:val="center"/>
        </w:trPr>
        <w:tc>
          <w:tcPr>
            <w:tcW w:w="5140" w:type="dxa"/>
          </w:tcPr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Recommended reading/videos: </w:t>
            </w:r>
          </w:p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History of negative numbers: </w:t>
            </w:r>
            <w:hyperlink r:id="rId7">
              <w:r w:rsidRPr="005212A3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https://nrich.maths.org/5961</w:t>
              </w:r>
            </w:hyperlink>
          </w:p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Hypatia: </w:t>
            </w:r>
            <w:hyperlink r:id="rId8">
              <w:r w:rsidRPr="005212A3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https://massivesci.com/articles/hypatia-math-science-heroes/</w:t>
              </w:r>
            </w:hyperlink>
          </w:p>
          <w:p w:rsidR="00DD7EDE" w:rsidRPr="000F7B18" w:rsidRDefault="004D4191" w:rsidP="0020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20"/>
                <w:szCs w:val="20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Euclid: </w:t>
            </w:r>
            <w:hyperlink r:id="rId9">
              <w:r w:rsidRPr="005212A3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https://www.gresham.ac.uk/lectures-and-events/euclid</w:t>
              </w:r>
            </w:hyperlink>
          </w:p>
        </w:tc>
        <w:tc>
          <w:tcPr>
            <w:tcW w:w="5398" w:type="dxa"/>
            <w:gridSpan w:val="2"/>
          </w:tcPr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Places to visit:</w:t>
            </w:r>
          </w:p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Bank of England museum: </w:t>
            </w:r>
            <w:hyperlink r:id="rId10">
              <w:r w:rsidRPr="005212A3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www.bankofengland.co.uk</w:t>
              </w:r>
            </w:hyperlink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C7B15" w:rsidRPr="005212A3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fre</w:t>
            </w:r>
            <w:r w:rsidR="00FC7B15"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e. </w:t>
            </w:r>
          </w:p>
          <w:p w:rsidR="00DD7EDE" w:rsidRPr="005212A3" w:rsidRDefault="004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Winton maths gallery science museum: </w:t>
            </w:r>
            <w:hyperlink r:id="rId11">
              <w:r w:rsidRPr="005212A3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www.sciencemuseum.org.uk</w:t>
              </w:r>
            </w:hyperlink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 free gallery with lots of maths</w:t>
            </w:r>
          </w:p>
          <w:p w:rsidR="00DD7EDE" w:rsidRPr="000F7B18" w:rsidRDefault="004D4191" w:rsidP="00FC7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Royal Observatory Greenwich:  </w:t>
            </w:r>
            <w:hyperlink r:id="rId12">
              <w:r w:rsidRPr="005212A3">
                <w:rPr>
                  <w:rFonts w:asciiTheme="majorHAnsi" w:hAnsiTheme="majorHAnsi" w:cstheme="majorHAnsi"/>
                  <w:color w:val="1155CC"/>
                  <w:sz w:val="18"/>
                  <w:szCs w:val="18"/>
                  <w:u w:val="single"/>
                </w:rPr>
                <w:t>www.rmg.co.uk</w:t>
              </w:r>
            </w:hyperlink>
            <w:r w:rsidRPr="005212A3">
              <w:rPr>
                <w:rFonts w:asciiTheme="majorHAnsi" w:hAnsiTheme="majorHAnsi" w:cstheme="majorHAnsi"/>
                <w:sz w:val="18"/>
                <w:szCs w:val="18"/>
              </w:rPr>
              <w:t xml:space="preserve">  again not free but lots of great maths stuff to see and interact with</w:t>
            </w:r>
            <w:r w:rsidR="00FC7B15" w:rsidRPr="005212A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FC7B15" w:rsidRPr="000F7B1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:rsidR="00DD7EDE" w:rsidRDefault="00DD7EDE" w:rsidP="005212A3">
      <w:pPr>
        <w:ind w:leftChars="0" w:left="0" w:firstLineChars="0" w:firstLine="0"/>
      </w:pPr>
    </w:p>
    <w:sectPr w:rsidR="00DD7ED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die Flow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753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3D21EB"/>
    <w:multiLevelType w:val="multilevel"/>
    <w:tmpl w:val="D2F473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BA255C6"/>
    <w:multiLevelType w:val="hybridMultilevel"/>
    <w:tmpl w:val="8F02EA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EB11F6A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3D42481"/>
    <w:multiLevelType w:val="multilevel"/>
    <w:tmpl w:val="357C65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3DA5DF7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52E57E5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5E37D92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51B65FE"/>
    <w:multiLevelType w:val="multilevel"/>
    <w:tmpl w:val="07BAD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54620C1A"/>
    <w:multiLevelType w:val="multilevel"/>
    <w:tmpl w:val="6D1E6FD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5903B7D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AD566E4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DAD7C37"/>
    <w:multiLevelType w:val="multilevel"/>
    <w:tmpl w:val="43C8CD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62A8216A"/>
    <w:multiLevelType w:val="multilevel"/>
    <w:tmpl w:val="07BAD6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C6C4357"/>
    <w:multiLevelType w:val="multilevel"/>
    <w:tmpl w:val="27149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3235F0E"/>
    <w:multiLevelType w:val="multilevel"/>
    <w:tmpl w:val="DCC4D0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BCB63DE"/>
    <w:multiLevelType w:val="multilevel"/>
    <w:tmpl w:val="297E16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EDE"/>
    <w:rsid w:val="0002288B"/>
    <w:rsid w:val="000F7B18"/>
    <w:rsid w:val="001851CD"/>
    <w:rsid w:val="00197E52"/>
    <w:rsid w:val="00205EB7"/>
    <w:rsid w:val="003C5C67"/>
    <w:rsid w:val="003C64E1"/>
    <w:rsid w:val="003E62D7"/>
    <w:rsid w:val="00464702"/>
    <w:rsid w:val="004D09A6"/>
    <w:rsid w:val="004D4191"/>
    <w:rsid w:val="005212A3"/>
    <w:rsid w:val="00531476"/>
    <w:rsid w:val="0058106D"/>
    <w:rsid w:val="005B2EDB"/>
    <w:rsid w:val="006538D9"/>
    <w:rsid w:val="006B35C6"/>
    <w:rsid w:val="006D24A1"/>
    <w:rsid w:val="00754ED4"/>
    <w:rsid w:val="00792BB6"/>
    <w:rsid w:val="007C5EDC"/>
    <w:rsid w:val="00877A0F"/>
    <w:rsid w:val="00886FF4"/>
    <w:rsid w:val="008A7A02"/>
    <w:rsid w:val="00900ED5"/>
    <w:rsid w:val="0091500B"/>
    <w:rsid w:val="00954DE9"/>
    <w:rsid w:val="00994537"/>
    <w:rsid w:val="00A246EE"/>
    <w:rsid w:val="00A5153B"/>
    <w:rsid w:val="00C03DD4"/>
    <w:rsid w:val="00C34EED"/>
    <w:rsid w:val="00C36BC0"/>
    <w:rsid w:val="00D450F9"/>
    <w:rsid w:val="00DD7EDE"/>
    <w:rsid w:val="00E24E27"/>
    <w:rsid w:val="00EB3690"/>
    <w:rsid w:val="00F11D01"/>
    <w:rsid w:val="00FC7B15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2A24"/>
  <w15:docId w15:val="{D9D4C19F-1374-48EC-B798-516C508B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0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ivesci.com/articles/hypatia-math-science-hero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rich.maths.org/5961" TargetMode="External"/><Relationship Id="rId12" Type="http://schemas.openxmlformats.org/officeDocument/2006/relationships/hyperlink" Target="http://www.rmg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sciencemuseum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nkofengland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esham.ac.uk/lectures-and-events/eucl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KS8S1hlXOJtupqEZaUwv5iSwg==">AMUW2mVJgHUMfZG9+e0/rWviR2XDfqrPvhJSIjZ/gVZS+1r+KhzdFXCVOHl8M/tKVZO4Jc+YylVcLWobMIAdOjC+vJZW3fG0P0FKbDDMcXI0Z5EDPnI6sUA=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Farrow</dc:creator>
  <cp:lastModifiedBy>P McGarr</cp:lastModifiedBy>
  <cp:revision>2</cp:revision>
  <cp:lastPrinted>2021-09-06T10:55:00Z</cp:lastPrinted>
  <dcterms:created xsi:type="dcterms:W3CDTF">2022-07-18T12:07:00Z</dcterms:created>
  <dcterms:modified xsi:type="dcterms:W3CDTF">2022-07-18T12:07:00Z</dcterms:modified>
</cp:coreProperties>
</file>