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806"/>
        <w:gridCol w:w="1163"/>
        <w:gridCol w:w="2126"/>
        <w:gridCol w:w="1984"/>
        <w:gridCol w:w="1673"/>
        <w:gridCol w:w="2268"/>
      </w:tblGrid>
      <w:tr w:rsidR="000354B5" w14:paraId="7B5ECE88" w14:textId="77777777" w:rsidTr="003209F3">
        <w:tc>
          <w:tcPr>
            <w:tcW w:w="2689" w:type="dxa"/>
            <w:shd w:val="clear" w:color="auto" w:fill="auto"/>
          </w:tcPr>
          <w:p w14:paraId="7BDA3CB2" w14:textId="7229EF8F" w:rsidR="000354B5" w:rsidRPr="00FF68F5" w:rsidRDefault="000354B5" w:rsidP="00760F99">
            <w:pPr>
              <w:pStyle w:val="NoSpacing"/>
            </w:pPr>
            <w:r>
              <w:t xml:space="preserve">Year 7 </w:t>
            </w:r>
            <w:r w:rsidR="00C77677">
              <w:t>Unit 4</w:t>
            </w:r>
            <w:r>
              <w:t xml:space="preserve"> - </w:t>
            </w:r>
            <w:r w:rsidR="00760F99">
              <w:t>Drama</w:t>
            </w:r>
          </w:p>
        </w:tc>
        <w:tc>
          <w:tcPr>
            <w:tcW w:w="12020" w:type="dxa"/>
            <w:gridSpan w:val="6"/>
            <w:shd w:val="clear" w:color="auto" w:fill="auto"/>
          </w:tcPr>
          <w:p w14:paraId="7E576F89" w14:textId="6A4052DB" w:rsidR="000354B5" w:rsidRDefault="00966376" w:rsidP="00461F68">
            <w:pPr>
              <w:pStyle w:val="NoSpacing"/>
            </w:pPr>
            <w:r>
              <w:t>Three Lessons</w:t>
            </w:r>
          </w:p>
        </w:tc>
      </w:tr>
      <w:tr w:rsidR="000354B5" w:rsidRPr="005A7068" w14:paraId="76198578" w14:textId="77777777" w:rsidTr="00461F68">
        <w:tc>
          <w:tcPr>
            <w:tcW w:w="14709" w:type="dxa"/>
            <w:gridSpan w:val="7"/>
            <w:shd w:val="clear" w:color="auto" w:fill="auto"/>
          </w:tcPr>
          <w:p w14:paraId="7F2629AB" w14:textId="1571E141" w:rsidR="000354B5" w:rsidRPr="005A7068" w:rsidRDefault="000354B5" w:rsidP="00461F68">
            <w:pPr>
              <w:pStyle w:val="NoSpacing"/>
              <w:rPr>
                <w:b/>
              </w:rPr>
            </w:pPr>
            <w:r w:rsidRPr="005A7068">
              <w:rPr>
                <w:b/>
                <w:sz w:val="44"/>
              </w:rPr>
              <w:t xml:space="preserve">Enquiry Question: </w:t>
            </w:r>
            <w:r w:rsidR="00966376">
              <w:rPr>
                <w:b/>
                <w:sz w:val="44"/>
              </w:rPr>
              <w:t xml:space="preserve">How can </w:t>
            </w:r>
            <w:r w:rsidR="003E6762">
              <w:rPr>
                <w:b/>
                <w:sz w:val="44"/>
              </w:rPr>
              <w:t xml:space="preserve">we make stories from the past relevant for a modern audience? </w:t>
            </w:r>
          </w:p>
        </w:tc>
      </w:tr>
      <w:tr w:rsidR="000354B5" w:rsidRPr="006472AF" w14:paraId="51209863" w14:textId="77777777" w:rsidTr="00461F68">
        <w:tc>
          <w:tcPr>
            <w:tcW w:w="14709" w:type="dxa"/>
            <w:gridSpan w:val="7"/>
            <w:shd w:val="clear" w:color="auto" w:fill="auto"/>
          </w:tcPr>
          <w:p w14:paraId="4C2252A4" w14:textId="4C28DDFD" w:rsidR="000354B5" w:rsidRDefault="000354B5" w:rsidP="00461F68">
            <w:pPr>
              <w:pStyle w:val="NoSpacing"/>
              <w:rPr>
                <w:b/>
                <w:sz w:val="32"/>
                <w:szCs w:val="32"/>
              </w:rPr>
            </w:pPr>
            <w:r w:rsidRPr="005A7068">
              <w:rPr>
                <w:b/>
                <w:sz w:val="32"/>
                <w:szCs w:val="32"/>
              </w:rPr>
              <w:t xml:space="preserve">Unit title: </w:t>
            </w:r>
            <w:r w:rsidR="001924C5">
              <w:rPr>
                <w:b/>
                <w:sz w:val="32"/>
                <w:szCs w:val="32"/>
              </w:rPr>
              <w:t>Story Telling for a Modern Audience</w:t>
            </w:r>
          </w:p>
          <w:p w14:paraId="5BC935C4" w14:textId="6F2BC784" w:rsidR="000354B5" w:rsidRPr="006472AF" w:rsidRDefault="000354B5" w:rsidP="0055471A">
            <w:pPr>
              <w:pStyle w:val="NoSpacing"/>
            </w:pPr>
            <w:r w:rsidRPr="00C77677">
              <w:rPr>
                <w:b/>
              </w:rPr>
              <w:t>Why now?</w:t>
            </w:r>
            <w:r>
              <w:t xml:space="preserve">  </w:t>
            </w:r>
            <w:r w:rsidR="001924C5">
              <w:t>Students have spent the year so far learning the basic skills of Drama</w:t>
            </w:r>
            <w:r w:rsidR="0055471A">
              <w:t xml:space="preserve"> &amp; Theatre</w:t>
            </w:r>
            <w:r w:rsidR="001924C5">
              <w:t xml:space="preserve">, extending their </w:t>
            </w:r>
            <w:r w:rsidR="0055471A">
              <w:t xml:space="preserve">Drama </w:t>
            </w:r>
            <w:r w:rsidR="001924C5">
              <w:t xml:space="preserve">vocabulary and knowledge of making, performing and responding to Drama. They have covered physical &amp; vocal skills to create character most recently, </w:t>
            </w:r>
            <w:r w:rsidR="0055471A">
              <w:t xml:space="preserve">have experience in </w:t>
            </w:r>
            <w:r w:rsidR="001924C5">
              <w:t xml:space="preserve">improvised and scripted Drama and now we start to explore devising Drama. The students are </w:t>
            </w:r>
            <w:r w:rsidR="0055471A">
              <w:t>introduced to</w:t>
            </w:r>
            <w:r w:rsidR="001924C5">
              <w:t xml:space="preserve"> </w:t>
            </w:r>
            <w:r w:rsidR="0055471A">
              <w:t>the practitioner and conventions of Brecht</w:t>
            </w:r>
            <w:r w:rsidR="00044B96">
              <w:t xml:space="preserve">, </w:t>
            </w:r>
            <w:r w:rsidR="0055471A">
              <w:t>these</w:t>
            </w:r>
            <w:r w:rsidR="001924C5">
              <w:t xml:space="preserve"> will be made more explicit as they </w:t>
            </w:r>
            <w:r w:rsidR="00044B96">
              <w:t xml:space="preserve">reach Year 8 and 9. </w:t>
            </w:r>
          </w:p>
        </w:tc>
      </w:tr>
      <w:tr w:rsidR="000354B5" w14:paraId="4F042374" w14:textId="77777777" w:rsidTr="003209F3">
        <w:tc>
          <w:tcPr>
            <w:tcW w:w="2689" w:type="dxa"/>
            <w:shd w:val="clear" w:color="auto" w:fill="auto"/>
          </w:tcPr>
          <w:p w14:paraId="6A82F54A" w14:textId="77777777" w:rsidR="000354B5" w:rsidRDefault="000354B5" w:rsidP="00461F68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3D09043B" w14:textId="77777777" w:rsidR="000354B5" w:rsidRPr="00E47B01" w:rsidRDefault="000354B5" w:rsidP="00461F68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806" w:type="dxa"/>
            <w:shd w:val="clear" w:color="auto" w:fill="auto"/>
          </w:tcPr>
          <w:p w14:paraId="1DF417F0" w14:textId="77777777" w:rsidR="000354B5" w:rsidRPr="00E47B01" w:rsidRDefault="000354B5" w:rsidP="00461F68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3847171F" w14:textId="77777777" w:rsidR="000354B5" w:rsidRDefault="000354B5" w:rsidP="00461F68">
            <w:pPr>
              <w:pStyle w:val="NoSpacing"/>
            </w:pPr>
            <w:r>
              <w:t>Students will be able to…</w:t>
            </w:r>
          </w:p>
        </w:tc>
        <w:tc>
          <w:tcPr>
            <w:tcW w:w="1163" w:type="dxa"/>
            <w:shd w:val="clear" w:color="auto" w:fill="auto"/>
          </w:tcPr>
          <w:p w14:paraId="1A4EDE4D" w14:textId="77777777" w:rsidR="000354B5" w:rsidRDefault="000354B5" w:rsidP="00461F68">
            <w:pPr>
              <w:pStyle w:val="NoSpacing"/>
            </w:pPr>
            <w:r>
              <w:t>Vocabulary</w:t>
            </w:r>
          </w:p>
          <w:p w14:paraId="5EB2E1E0" w14:textId="77777777" w:rsidR="000354B5" w:rsidRPr="00E47B01" w:rsidRDefault="000354B5" w:rsidP="00461F68">
            <w:pPr>
              <w:pStyle w:val="NoSpacing"/>
              <w:rPr>
                <w:i/>
              </w:rPr>
            </w:pPr>
            <w:r w:rsidRPr="00E47B01">
              <w:rPr>
                <w:i/>
              </w:rPr>
              <w:t>(Tier 2 and 3)</w:t>
            </w:r>
          </w:p>
        </w:tc>
        <w:tc>
          <w:tcPr>
            <w:tcW w:w="2126" w:type="dxa"/>
            <w:shd w:val="clear" w:color="auto" w:fill="auto"/>
          </w:tcPr>
          <w:p w14:paraId="0F90272B" w14:textId="77777777" w:rsidR="000354B5" w:rsidRDefault="000354B5" w:rsidP="00461F68">
            <w:pPr>
              <w:pStyle w:val="NoSpacing"/>
            </w:pPr>
            <w:r>
              <w:t>Home Learning</w:t>
            </w:r>
          </w:p>
        </w:tc>
        <w:tc>
          <w:tcPr>
            <w:tcW w:w="1984" w:type="dxa"/>
            <w:shd w:val="clear" w:color="auto" w:fill="auto"/>
          </w:tcPr>
          <w:p w14:paraId="283B5977" w14:textId="77777777" w:rsidR="000354B5" w:rsidRDefault="000354B5" w:rsidP="00461F68">
            <w:pPr>
              <w:pStyle w:val="NoSpacing"/>
            </w:pPr>
            <w:r>
              <w:t>Assessment</w:t>
            </w:r>
          </w:p>
        </w:tc>
        <w:tc>
          <w:tcPr>
            <w:tcW w:w="1673" w:type="dxa"/>
            <w:shd w:val="clear" w:color="auto" w:fill="auto"/>
          </w:tcPr>
          <w:p w14:paraId="07E3F098" w14:textId="77777777" w:rsidR="000354B5" w:rsidRDefault="000354B5" w:rsidP="00461F68">
            <w:pPr>
              <w:pStyle w:val="NoSpacing"/>
            </w:pPr>
            <w:r>
              <w:t>Extra Resources</w:t>
            </w:r>
          </w:p>
          <w:p w14:paraId="4E9199D6" w14:textId="77777777" w:rsidR="000354B5" w:rsidRDefault="000354B5" w:rsidP="00461F68">
            <w:pPr>
              <w:pStyle w:val="NoSpacing"/>
            </w:pPr>
            <w:r>
              <w:t>Extended Reading</w:t>
            </w:r>
          </w:p>
        </w:tc>
        <w:tc>
          <w:tcPr>
            <w:tcW w:w="2268" w:type="dxa"/>
            <w:shd w:val="clear" w:color="auto" w:fill="auto"/>
          </w:tcPr>
          <w:p w14:paraId="42C77D6F" w14:textId="77777777" w:rsidR="000354B5" w:rsidRDefault="000354B5" w:rsidP="00461F68">
            <w:pPr>
              <w:pStyle w:val="NoSpacing"/>
            </w:pPr>
            <w:r>
              <w:t>Cultural Capital</w:t>
            </w:r>
          </w:p>
          <w:p w14:paraId="7A23EB3B" w14:textId="77777777" w:rsidR="000354B5" w:rsidRDefault="000354B5" w:rsidP="00461F68">
            <w:pPr>
              <w:pStyle w:val="NoSpacing"/>
            </w:pPr>
          </w:p>
        </w:tc>
      </w:tr>
      <w:tr w:rsidR="000354B5" w14:paraId="16F9AA10" w14:textId="77777777" w:rsidTr="003209F3">
        <w:trPr>
          <w:trHeight w:val="3010"/>
        </w:trPr>
        <w:tc>
          <w:tcPr>
            <w:tcW w:w="2689" w:type="dxa"/>
            <w:shd w:val="clear" w:color="auto" w:fill="auto"/>
          </w:tcPr>
          <w:p w14:paraId="3B73F17C" w14:textId="6CC656AB" w:rsidR="00114ED8" w:rsidRDefault="00114ED8" w:rsidP="00461F68">
            <w:pPr>
              <w:pStyle w:val="NoSpacing"/>
            </w:pPr>
          </w:p>
          <w:p w14:paraId="773C890B" w14:textId="77777777" w:rsidR="00760F99" w:rsidRDefault="0055471A" w:rsidP="00461F68">
            <w:pPr>
              <w:pStyle w:val="NoSpacing"/>
            </w:pPr>
            <w:r>
              <w:t>The importance of engaging an audience.</w:t>
            </w:r>
          </w:p>
          <w:p w14:paraId="1EB24393" w14:textId="77777777" w:rsidR="0055471A" w:rsidRDefault="0055471A" w:rsidP="00461F68">
            <w:pPr>
              <w:pStyle w:val="NoSpacing"/>
            </w:pPr>
          </w:p>
          <w:p w14:paraId="5E7BEE15" w14:textId="0CB8D767" w:rsidR="0055471A" w:rsidRDefault="0055471A" w:rsidP="00461F68">
            <w:pPr>
              <w:pStyle w:val="NoSpacing"/>
            </w:pPr>
            <w:r>
              <w:t xml:space="preserve">Using Drama to explore stories and </w:t>
            </w:r>
            <w:r w:rsidR="006F780D">
              <w:t>contextualise them for the modern world.</w:t>
            </w:r>
          </w:p>
          <w:p w14:paraId="2A2C4F0E" w14:textId="77777777" w:rsidR="006F780D" w:rsidRDefault="006F780D" w:rsidP="00461F68">
            <w:pPr>
              <w:pStyle w:val="NoSpacing"/>
            </w:pPr>
          </w:p>
          <w:p w14:paraId="00E18E40" w14:textId="77777777" w:rsidR="006F780D" w:rsidRDefault="006F780D" w:rsidP="00461F68">
            <w:pPr>
              <w:pStyle w:val="NoSpacing"/>
            </w:pPr>
            <w:r>
              <w:t>The Brecht conventions of:</w:t>
            </w:r>
          </w:p>
          <w:p w14:paraId="681AEFA2" w14:textId="62103032" w:rsidR="006F780D" w:rsidRDefault="006F780D" w:rsidP="006F780D">
            <w:pPr>
              <w:pStyle w:val="NoSpacing"/>
              <w:numPr>
                <w:ilvl w:val="0"/>
                <w:numId w:val="1"/>
              </w:numPr>
            </w:pPr>
            <w:r>
              <w:t>Narration</w:t>
            </w:r>
          </w:p>
          <w:p w14:paraId="705AAC9E" w14:textId="77777777" w:rsidR="006F780D" w:rsidRDefault="006F780D" w:rsidP="006F780D">
            <w:pPr>
              <w:pStyle w:val="NoSpacing"/>
              <w:numPr>
                <w:ilvl w:val="0"/>
                <w:numId w:val="1"/>
              </w:numPr>
            </w:pPr>
            <w:r>
              <w:t>Direct Address</w:t>
            </w:r>
          </w:p>
          <w:p w14:paraId="1F8C3774" w14:textId="61382AFD" w:rsidR="00322E96" w:rsidRDefault="00322E96" w:rsidP="006F780D">
            <w:pPr>
              <w:pStyle w:val="NoSpacing"/>
              <w:numPr>
                <w:ilvl w:val="0"/>
                <w:numId w:val="1"/>
              </w:numPr>
            </w:pPr>
            <w:r>
              <w:t>Alienation</w:t>
            </w:r>
          </w:p>
          <w:p w14:paraId="20585911" w14:textId="77777777" w:rsidR="006F780D" w:rsidRDefault="006F780D" w:rsidP="006F780D">
            <w:pPr>
              <w:pStyle w:val="NoSpacing"/>
              <w:numPr>
                <w:ilvl w:val="0"/>
                <w:numId w:val="1"/>
              </w:numPr>
            </w:pPr>
            <w:r>
              <w:t xml:space="preserve">Chorus </w:t>
            </w:r>
          </w:p>
          <w:p w14:paraId="3B334449" w14:textId="77777777" w:rsidR="006F780D" w:rsidRDefault="006F780D" w:rsidP="006F780D">
            <w:pPr>
              <w:pStyle w:val="NoSpacing"/>
              <w:numPr>
                <w:ilvl w:val="0"/>
                <w:numId w:val="1"/>
              </w:numPr>
            </w:pPr>
            <w:r>
              <w:t>Placards</w:t>
            </w:r>
          </w:p>
          <w:p w14:paraId="0B3AE094" w14:textId="493362C2" w:rsidR="006F780D" w:rsidRDefault="006F780D" w:rsidP="005803E1">
            <w:pPr>
              <w:pStyle w:val="NoSpacing"/>
              <w:ind w:left="720"/>
            </w:pPr>
          </w:p>
          <w:p w14:paraId="10C38326" w14:textId="77777777" w:rsidR="006F780D" w:rsidRDefault="006F780D" w:rsidP="00461F68">
            <w:pPr>
              <w:pStyle w:val="NoSpacing"/>
            </w:pPr>
          </w:p>
          <w:p w14:paraId="5798D578" w14:textId="37D729EE" w:rsidR="006F780D" w:rsidRDefault="006F780D" w:rsidP="00461F68">
            <w:pPr>
              <w:pStyle w:val="NoSpacing"/>
            </w:pPr>
          </w:p>
        </w:tc>
        <w:tc>
          <w:tcPr>
            <w:tcW w:w="2806" w:type="dxa"/>
            <w:shd w:val="clear" w:color="auto" w:fill="auto"/>
          </w:tcPr>
          <w:p w14:paraId="1697F5CA" w14:textId="23C54B9B" w:rsidR="000354B5" w:rsidRDefault="00C77677" w:rsidP="00461F68">
            <w:pPr>
              <w:pStyle w:val="NoSpacing"/>
            </w:pPr>
            <w:r>
              <w:rPr>
                <w:b/>
              </w:rPr>
              <w:t>Create</w:t>
            </w:r>
            <w:r w:rsidR="00760F99">
              <w:t xml:space="preserve"> Drama (</w:t>
            </w:r>
            <w:r w:rsidR="00322E96">
              <w:t>re-telling of old story/fable/</w:t>
            </w:r>
            <w:proofErr w:type="spellStart"/>
            <w:r w:rsidR="00322E96">
              <w:t>fairytale</w:t>
            </w:r>
            <w:proofErr w:type="spellEnd"/>
            <w:r w:rsidR="00322E96">
              <w:t>, Brecht Conventions)</w:t>
            </w:r>
          </w:p>
          <w:p w14:paraId="137C7694" w14:textId="77777777" w:rsidR="00760F99" w:rsidRDefault="00760F99" w:rsidP="00461F68">
            <w:pPr>
              <w:pStyle w:val="NoSpacing"/>
            </w:pPr>
          </w:p>
          <w:p w14:paraId="5127A56F" w14:textId="64C74C83" w:rsidR="0018659B" w:rsidRDefault="00760F99" w:rsidP="00461F68">
            <w:pPr>
              <w:pStyle w:val="NoSpacing"/>
            </w:pPr>
            <w:r w:rsidRPr="0018659B">
              <w:rPr>
                <w:b/>
              </w:rPr>
              <w:t>Perform</w:t>
            </w:r>
            <w:r>
              <w:t xml:space="preserve"> Drama (</w:t>
            </w:r>
            <w:r w:rsidR="0018659B">
              <w:t>Basic Performance skills, Vocal skills, Physical skills, Space</w:t>
            </w:r>
            <w:r w:rsidR="00322E96">
              <w:t>, Brecht conventions</w:t>
            </w:r>
            <w:r w:rsidR="0018659B">
              <w:t>).</w:t>
            </w:r>
          </w:p>
          <w:p w14:paraId="7089AEBE" w14:textId="77777777" w:rsidR="0018659B" w:rsidRDefault="0018659B" w:rsidP="00461F68">
            <w:pPr>
              <w:pStyle w:val="NoSpacing"/>
            </w:pPr>
          </w:p>
          <w:p w14:paraId="6D0199CB" w14:textId="2FE49D73" w:rsidR="0018659B" w:rsidRDefault="0018659B" w:rsidP="00461F68">
            <w:pPr>
              <w:pStyle w:val="NoSpacing"/>
            </w:pPr>
            <w:r w:rsidRPr="0018659B">
              <w:rPr>
                <w:b/>
              </w:rPr>
              <w:t>Respond</w:t>
            </w:r>
            <w:r>
              <w:t xml:space="preserve"> to Drama (WWW &amp; EBI, peer and self-reflection, respect &amp; appreciation).</w:t>
            </w:r>
          </w:p>
          <w:p w14:paraId="70790AAF" w14:textId="77777777" w:rsidR="0018659B" w:rsidRDefault="0018659B" w:rsidP="00461F68">
            <w:pPr>
              <w:pStyle w:val="NoSpacing"/>
            </w:pPr>
          </w:p>
          <w:p w14:paraId="198C5C2A" w14:textId="305C6F36" w:rsidR="0018659B" w:rsidRDefault="0018659B" w:rsidP="00461F68">
            <w:pPr>
              <w:pStyle w:val="NoSpacing"/>
            </w:pPr>
            <w:r>
              <w:t xml:space="preserve">Work together using communication skills, control, cooperation and confidence. </w:t>
            </w:r>
          </w:p>
        </w:tc>
        <w:tc>
          <w:tcPr>
            <w:tcW w:w="1163" w:type="dxa"/>
            <w:shd w:val="clear" w:color="auto" w:fill="auto"/>
          </w:tcPr>
          <w:p w14:paraId="22888991" w14:textId="4CCF3CF8" w:rsidR="00114ED8" w:rsidRDefault="00322E96" w:rsidP="00461F6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Modern</w:t>
            </w:r>
          </w:p>
          <w:p w14:paraId="4562C7D7" w14:textId="77777777" w:rsidR="00322E96" w:rsidRDefault="00322E96" w:rsidP="00461F68">
            <w:pPr>
              <w:pStyle w:val="NoSpacing"/>
              <w:rPr>
                <w:sz w:val="20"/>
              </w:rPr>
            </w:pPr>
          </w:p>
          <w:p w14:paraId="0C899657" w14:textId="77777777" w:rsidR="00322E96" w:rsidRDefault="00322E96" w:rsidP="00461F6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Moral</w:t>
            </w:r>
          </w:p>
          <w:p w14:paraId="15592D72" w14:textId="77777777" w:rsidR="00322E96" w:rsidRDefault="00322E96" w:rsidP="00461F68">
            <w:pPr>
              <w:pStyle w:val="NoSpacing"/>
              <w:rPr>
                <w:sz w:val="20"/>
              </w:rPr>
            </w:pPr>
          </w:p>
          <w:p w14:paraId="111E2944" w14:textId="77777777" w:rsidR="00322E96" w:rsidRDefault="00322E96" w:rsidP="00461F6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Narration</w:t>
            </w:r>
          </w:p>
          <w:p w14:paraId="4D21C61B" w14:textId="77777777" w:rsidR="00322E96" w:rsidRDefault="00322E96" w:rsidP="00461F68">
            <w:pPr>
              <w:pStyle w:val="NoSpacing"/>
              <w:rPr>
                <w:sz w:val="20"/>
              </w:rPr>
            </w:pPr>
          </w:p>
          <w:p w14:paraId="2CED827A" w14:textId="77777777" w:rsidR="00322E96" w:rsidRDefault="00322E96" w:rsidP="00461F6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Alienation</w:t>
            </w:r>
          </w:p>
          <w:p w14:paraId="2EB34130" w14:textId="77777777" w:rsidR="00322E96" w:rsidRDefault="00322E96" w:rsidP="00461F68">
            <w:pPr>
              <w:pStyle w:val="NoSpacing"/>
              <w:rPr>
                <w:sz w:val="20"/>
              </w:rPr>
            </w:pPr>
          </w:p>
          <w:p w14:paraId="6844456D" w14:textId="77777777" w:rsidR="00322E96" w:rsidRDefault="00322E96" w:rsidP="00461F6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Placards</w:t>
            </w:r>
          </w:p>
          <w:p w14:paraId="1E284768" w14:textId="77777777" w:rsidR="00322E96" w:rsidRDefault="00322E96" w:rsidP="00461F68">
            <w:pPr>
              <w:pStyle w:val="NoSpacing"/>
              <w:rPr>
                <w:sz w:val="20"/>
              </w:rPr>
            </w:pPr>
          </w:p>
          <w:p w14:paraId="6B124428" w14:textId="00775E59" w:rsidR="00114ED8" w:rsidRDefault="00322E96" w:rsidP="00461F6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Gestus</w:t>
            </w:r>
          </w:p>
          <w:p w14:paraId="0C6B66C1" w14:textId="77777777" w:rsidR="00114ED8" w:rsidRPr="0018659B" w:rsidRDefault="00114ED8" w:rsidP="00461F68">
            <w:pPr>
              <w:pStyle w:val="NoSpacing"/>
              <w:rPr>
                <w:sz w:val="16"/>
              </w:rPr>
            </w:pPr>
          </w:p>
          <w:p w14:paraId="7FE94A34" w14:textId="77777777" w:rsidR="000354B5" w:rsidRDefault="00322E96" w:rsidP="00461F68">
            <w:pPr>
              <w:pStyle w:val="NoSpacing"/>
            </w:pPr>
            <w:r>
              <w:t>Brecht</w:t>
            </w:r>
          </w:p>
          <w:p w14:paraId="42D6218C" w14:textId="77777777" w:rsidR="00322E96" w:rsidRDefault="00322E96" w:rsidP="00461F68">
            <w:pPr>
              <w:pStyle w:val="NoSpacing"/>
            </w:pPr>
          </w:p>
          <w:p w14:paraId="33D0A3A7" w14:textId="77777777" w:rsidR="000354B5" w:rsidRDefault="000354B5" w:rsidP="00461F68">
            <w:pPr>
              <w:pStyle w:val="NoSpacing"/>
            </w:pPr>
          </w:p>
          <w:p w14:paraId="662313C2" w14:textId="77777777" w:rsidR="000354B5" w:rsidRDefault="000354B5" w:rsidP="00461F68">
            <w:pPr>
              <w:pStyle w:val="NoSpacing"/>
            </w:pPr>
          </w:p>
          <w:p w14:paraId="6AB9EE5D" w14:textId="77777777" w:rsidR="000354B5" w:rsidRDefault="000354B5" w:rsidP="00461F68">
            <w:pPr>
              <w:pStyle w:val="NoSpacing"/>
            </w:pPr>
          </w:p>
        </w:tc>
        <w:tc>
          <w:tcPr>
            <w:tcW w:w="2126" w:type="dxa"/>
            <w:shd w:val="clear" w:color="auto" w:fill="auto"/>
          </w:tcPr>
          <w:p w14:paraId="7338114C" w14:textId="1B9A1554" w:rsidR="00322E96" w:rsidRDefault="00322E96" w:rsidP="00461F68">
            <w:pPr>
              <w:pStyle w:val="NoSpacing"/>
            </w:pPr>
            <w:r>
              <w:t>Watch Brechtian inspired performances at home.</w:t>
            </w:r>
          </w:p>
          <w:p w14:paraId="0E343E11" w14:textId="77777777" w:rsidR="00114ED8" w:rsidRDefault="00114ED8" w:rsidP="00461F68">
            <w:pPr>
              <w:pStyle w:val="NoSpacing"/>
            </w:pPr>
          </w:p>
          <w:p w14:paraId="3745BD88" w14:textId="62F22F2E" w:rsidR="000354B5" w:rsidRDefault="0018659B" w:rsidP="00461F68">
            <w:pPr>
              <w:pStyle w:val="NoSpacing"/>
            </w:pPr>
            <w:r>
              <w:t>Students will be asked to meet &amp; rehearse with their group outside of lesson, ready for performance.</w:t>
            </w:r>
          </w:p>
          <w:p w14:paraId="0008E88F" w14:textId="70CE5830" w:rsidR="00C77677" w:rsidRDefault="00C77677" w:rsidP="00461F68">
            <w:pPr>
              <w:pStyle w:val="NoSpacing"/>
            </w:pPr>
          </w:p>
          <w:p w14:paraId="01CAB765" w14:textId="77777777" w:rsidR="00C77677" w:rsidRPr="00C77677" w:rsidRDefault="00C77677" w:rsidP="00C77677">
            <w:pPr>
              <w:pStyle w:val="NoSpacing"/>
            </w:pPr>
            <w:r w:rsidRPr="00C77677">
              <w:t>Completion of Unit Overview &amp; Self Evaluation.</w:t>
            </w:r>
          </w:p>
          <w:p w14:paraId="58EA4C4C" w14:textId="77777777" w:rsidR="00C77677" w:rsidRPr="00C77677" w:rsidRDefault="00C77677" w:rsidP="00C77677">
            <w:pPr>
              <w:pStyle w:val="NoSpacing"/>
            </w:pPr>
          </w:p>
          <w:p w14:paraId="2F7DD8B4" w14:textId="77777777" w:rsidR="00C77677" w:rsidRPr="00C77677" w:rsidRDefault="00C77677" w:rsidP="00C77677">
            <w:pPr>
              <w:pStyle w:val="NoSpacing"/>
            </w:pPr>
            <w:r w:rsidRPr="00C77677">
              <w:t>Use of Google Classroom.</w:t>
            </w:r>
          </w:p>
          <w:p w14:paraId="5E9C61AF" w14:textId="77777777" w:rsidR="00C77677" w:rsidRDefault="00C77677" w:rsidP="00461F68">
            <w:pPr>
              <w:pStyle w:val="NoSpacing"/>
            </w:pPr>
          </w:p>
          <w:p w14:paraId="49634000" w14:textId="77777777" w:rsidR="000354B5" w:rsidRDefault="000354B5" w:rsidP="00461F68">
            <w:pPr>
              <w:pStyle w:val="NoSpacing"/>
            </w:pPr>
          </w:p>
        </w:tc>
        <w:tc>
          <w:tcPr>
            <w:tcW w:w="1984" w:type="dxa"/>
            <w:shd w:val="clear" w:color="auto" w:fill="auto"/>
          </w:tcPr>
          <w:p w14:paraId="28A6AE1C" w14:textId="77777777" w:rsidR="0018659B" w:rsidRDefault="0018659B" w:rsidP="00461F68">
            <w:pPr>
              <w:pStyle w:val="NoSpacing"/>
            </w:pPr>
            <w:r>
              <w:lastRenderedPageBreak/>
              <w:t>Regular monitoring of transferable skills in rehearsal.</w:t>
            </w:r>
          </w:p>
          <w:p w14:paraId="401C8423" w14:textId="77777777" w:rsidR="0018659B" w:rsidRDefault="0018659B" w:rsidP="00461F68">
            <w:pPr>
              <w:pStyle w:val="NoSpacing"/>
            </w:pPr>
          </w:p>
          <w:p w14:paraId="21060DD4" w14:textId="77777777" w:rsidR="0018659B" w:rsidRDefault="0018659B" w:rsidP="00461F68">
            <w:pPr>
              <w:pStyle w:val="NoSpacing"/>
            </w:pPr>
            <w:r>
              <w:t>Regular monitoring of performance skills (students perform every lesson).</w:t>
            </w:r>
          </w:p>
          <w:p w14:paraId="31784682" w14:textId="77777777" w:rsidR="0018659B" w:rsidRDefault="0018659B" w:rsidP="00461F68">
            <w:pPr>
              <w:pStyle w:val="NoSpacing"/>
            </w:pPr>
          </w:p>
          <w:p w14:paraId="1D6680DB" w14:textId="77777777" w:rsidR="00095B21" w:rsidRDefault="00095B21" w:rsidP="00095B21">
            <w:pPr>
              <w:pStyle w:val="NoSpacing"/>
            </w:pPr>
            <w:r>
              <w:t>Completion of Unit Overview, self-evaluation &amp; Knowledge text</w:t>
            </w:r>
          </w:p>
          <w:p w14:paraId="690E6F8D" w14:textId="77777777" w:rsidR="003209F3" w:rsidRDefault="003209F3" w:rsidP="00322E96">
            <w:pPr>
              <w:pStyle w:val="NoSpacing"/>
            </w:pPr>
            <w:bookmarkStart w:id="0" w:name="_GoBack"/>
            <w:bookmarkEnd w:id="0"/>
          </w:p>
          <w:p w14:paraId="64E0C247" w14:textId="6E72AAE9" w:rsidR="003209F3" w:rsidRDefault="003209F3" w:rsidP="00322E96">
            <w:pPr>
              <w:pStyle w:val="NoSpacing"/>
            </w:pPr>
            <w:r>
              <w:t>Completion of unit overview and knowledge test.</w:t>
            </w:r>
          </w:p>
        </w:tc>
        <w:tc>
          <w:tcPr>
            <w:tcW w:w="1673" w:type="dxa"/>
            <w:shd w:val="clear" w:color="auto" w:fill="auto"/>
          </w:tcPr>
          <w:p w14:paraId="3E6EAB17" w14:textId="17A3C9BA" w:rsidR="000354B5" w:rsidRDefault="003E6762" w:rsidP="00461F68">
            <w:pPr>
              <w:pStyle w:val="NoSpacing"/>
            </w:pPr>
            <w:r>
              <w:t>BBC bitesize Drama pages – Devising &amp; Brecht specifically</w:t>
            </w:r>
          </w:p>
          <w:p w14:paraId="266B8822" w14:textId="77777777" w:rsidR="0018659B" w:rsidRDefault="0018659B" w:rsidP="00461F68">
            <w:pPr>
              <w:pStyle w:val="NoSpacing"/>
            </w:pPr>
          </w:p>
          <w:p w14:paraId="36A676F6" w14:textId="13B119FF" w:rsidR="000354B5" w:rsidRDefault="00114ED8" w:rsidP="00461F68">
            <w:pPr>
              <w:pStyle w:val="NoSpacing"/>
            </w:pPr>
            <w:r>
              <w:t xml:space="preserve">Research and read </w:t>
            </w:r>
            <w:r w:rsidR="00322E96">
              <w:t xml:space="preserve">Brechtian fact file – </w:t>
            </w:r>
          </w:p>
          <w:p w14:paraId="67B70B9E" w14:textId="77777777" w:rsidR="00322E96" w:rsidRDefault="00322E96" w:rsidP="00461F68">
            <w:pPr>
              <w:pStyle w:val="NoSpacing"/>
            </w:pPr>
          </w:p>
          <w:p w14:paraId="4B9EA204" w14:textId="17775697" w:rsidR="00322E96" w:rsidRDefault="00322E96" w:rsidP="00461F68">
            <w:pPr>
              <w:pStyle w:val="NoSpacing"/>
            </w:pPr>
            <w:r w:rsidRPr="00322E96">
              <w:t>https://www.</w:t>
            </w:r>
            <w:r>
              <w:t>dramaclasses.biz/bertolt-brecht</w:t>
            </w:r>
          </w:p>
          <w:p w14:paraId="4B3F3061" w14:textId="77777777" w:rsidR="00322E96" w:rsidRPr="006472AF" w:rsidRDefault="00322E96" w:rsidP="00461F68">
            <w:pPr>
              <w:pStyle w:val="NoSpacing"/>
              <w:rPr>
                <w:i/>
              </w:rPr>
            </w:pPr>
          </w:p>
          <w:p w14:paraId="2B2E85FF" w14:textId="77777777" w:rsidR="000354B5" w:rsidRDefault="000354B5" w:rsidP="00461F68">
            <w:pPr>
              <w:pStyle w:val="NoSpacing"/>
            </w:pPr>
          </w:p>
        </w:tc>
        <w:tc>
          <w:tcPr>
            <w:tcW w:w="2268" w:type="dxa"/>
            <w:shd w:val="clear" w:color="auto" w:fill="auto"/>
          </w:tcPr>
          <w:p w14:paraId="05E26AAE" w14:textId="12455AF9" w:rsidR="00114ED8" w:rsidRDefault="00322E96" w:rsidP="00461F68">
            <w:pPr>
              <w:pStyle w:val="NoSpacing"/>
            </w:pPr>
            <w:r>
              <w:t xml:space="preserve">Understanding of </w:t>
            </w:r>
            <w:proofErr w:type="spellStart"/>
            <w:r>
              <w:t>fairtytales</w:t>
            </w:r>
            <w:proofErr w:type="spellEnd"/>
            <w:r>
              <w:t>, fables and morals of old stories.</w:t>
            </w:r>
          </w:p>
          <w:p w14:paraId="5A233787" w14:textId="77777777" w:rsidR="00114ED8" w:rsidRDefault="00114ED8" w:rsidP="00461F68">
            <w:pPr>
              <w:pStyle w:val="NoSpacing"/>
            </w:pPr>
          </w:p>
          <w:p w14:paraId="6BD2F479" w14:textId="4CDB30B6" w:rsidR="0018659B" w:rsidRDefault="0018659B" w:rsidP="00461F68">
            <w:pPr>
              <w:pStyle w:val="NoSpacing"/>
            </w:pPr>
            <w:r>
              <w:t>Spotlight Centre &amp; The Half Moon Theatre – students are encouraged to sign up to clubs and youth theatres at these local organisations that the school is partnered with.</w:t>
            </w:r>
          </w:p>
        </w:tc>
      </w:tr>
    </w:tbl>
    <w:p w14:paraId="7C151D00" w14:textId="74458FAD" w:rsidR="00461F68" w:rsidRDefault="00461F68"/>
    <w:sectPr w:rsidR="00461F68" w:rsidSect="000354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53A80"/>
    <w:multiLevelType w:val="hybridMultilevel"/>
    <w:tmpl w:val="533ED8AE"/>
    <w:lvl w:ilvl="0" w:tplc="2BBE8C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B5"/>
    <w:rsid w:val="000354B5"/>
    <w:rsid w:val="00044B96"/>
    <w:rsid w:val="00095B21"/>
    <w:rsid w:val="00114ED8"/>
    <w:rsid w:val="00170595"/>
    <w:rsid w:val="0018659B"/>
    <w:rsid w:val="001924C5"/>
    <w:rsid w:val="003209F3"/>
    <w:rsid w:val="00322E96"/>
    <w:rsid w:val="003E6762"/>
    <w:rsid w:val="00461F68"/>
    <w:rsid w:val="0055471A"/>
    <w:rsid w:val="005803E1"/>
    <w:rsid w:val="006D3989"/>
    <w:rsid w:val="006F780D"/>
    <w:rsid w:val="00760F99"/>
    <w:rsid w:val="007D7D7E"/>
    <w:rsid w:val="007E2578"/>
    <w:rsid w:val="007F1EC2"/>
    <w:rsid w:val="00912B88"/>
    <w:rsid w:val="00966376"/>
    <w:rsid w:val="009C39D0"/>
    <w:rsid w:val="009C6686"/>
    <w:rsid w:val="00A46347"/>
    <w:rsid w:val="00AF5436"/>
    <w:rsid w:val="00BF0EC7"/>
    <w:rsid w:val="00C77677"/>
    <w:rsid w:val="00D05FEB"/>
    <w:rsid w:val="00D11E7F"/>
    <w:rsid w:val="00EF3822"/>
    <w:rsid w:val="00FD7B8F"/>
    <w:rsid w:val="00FE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99DAC9"/>
  <w14:defaultImageDpi w14:val="32767"/>
  <w15:docId w15:val="{BEDBE4BB-F2D7-4E37-BB45-6EBDB64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4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4B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035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Anurag Jain</dc:creator>
  <cp:lastModifiedBy>Joanne Bird</cp:lastModifiedBy>
  <cp:revision>5</cp:revision>
  <dcterms:created xsi:type="dcterms:W3CDTF">2022-10-03T10:34:00Z</dcterms:created>
  <dcterms:modified xsi:type="dcterms:W3CDTF">2022-10-03T10:45:00Z</dcterms:modified>
</cp:coreProperties>
</file>