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552"/>
        <w:gridCol w:w="1417"/>
        <w:gridCol w:w="2127"/>
        <w:gridCol w:w="1559"/>
        <w:gridCol w:w="1843"/>
        <w:gridCol w:w="2268"/>
      </w:tblGrid>
      <w:tr w:rsidR="000354B5" w14:paraId="7B5ECE88" w14:textId="77777777" w:rsidTr="00133070">
        <w:tc>
          <w:tcPr>
            <w:tcW w:w="2943" w:type="dxa"/>
            <w:shd w:val="clear" w:color="auto" w:fill="auto"/>
          </w:tcPr>
          <w:p w14:paraId="7BDA3CB2" w14:textId="603A2E29" w:rsidR="000354B5" w:rsidRPr="00FF68F5" w:rsidRDefault="000354B5" w:rsidP="00760F99">
            <w:pPr>
              <w:pStyle w:val="NoSpacing"/>
            </w:pPr>
            <w:r>
              <w:t xml:space="preserve">Year 7 </w:t>
            </w:r>
            <w:r w:rsidR="00C06CD9">
              <w:t>Unit 1</w:t>
            </w:r>
            <w:r>
              <w:t xml:space="preserve"> </w:t>
            </w:r>
            <w:r w:rsidR="00836587">
              <w:t>–</w:t>
            </w:r>
            <w:r>
              <w:t xml:space="preserve"> </w:t>
            </w:r>
            <w:r w:rsidR="00760F99">
              <w:t>Drama</w:t>
            </w:r>
            <w:r w:rsidR="00836587">
              <w:t xml:space="preserve"> </w:t>
            </w:r>
          </w:p>
        </w:tc>
        <w:tc>
          <w:tcPr>
            <w:tcW w:w="11766" w:type="dxa"/>
            <w:gridSpan w:val="6"/>
            <w:shd w:val="clear" w:color="auto" w:fill="auto"/>
          </w:tcPr>
          <w:p w14:paraId="7E576F89" w14:textId="0A124CEE" w:rsidR="000354B5" w:rsidRDefault="00836587" w:rsidP="00133070">
            <w:pPr>
              <w:pStyle w:val="NoSpacing"/>
            </w:pPr>
            <w:r>
              <w:t>Three Lessons</w:t>
            </w:r>
          </w:p>
        </w:tc>
      </w:tr>
      <w:tr w:rsidR="000354B5" w:rsidRPr="005A7068" w14:paraId="76198578" w14:textId="77777777" w:rsidTr="00133070">
        <w:tc>
          <w:tcPr>
            <w:tcW w:w="14709" w:type="dxa"/>
            <w:gridSpan w:val="7"/>
            <w:shd w:val="clear" w:color="auto" w:fill="auto"/>
          </w:tcPr>
          <w:p w14:paraId="7F2629AB" w14:textId="5D048D04" w:rsidR="000354B5" w:rsidRPr="005A7068" w:rsidRDefault="000354B5" w:rsidP="00760F99">
            <w:pPr>
              <w:pStyle w:val="NoSpacing"/>
              <w:rPr>
                <w:b/>
              </w:rPr>
            </w:pPr>
            <w:r w:rsidRPr="005A7068">
              <w:rPr>
                <w:b/>
                <w:sz w:val="44"/>
              </w:rPr>
              <w:t xml:space="preserve">Enquiry Question: </w:t>
            </w:r>
            <w:r w:rsidR="00760F99">
              <w:rPr>
                <w:b/>
                <w:sz w:val="44"/>
              </w:rPr>
              <w:t>Is Drama just for actors?</w:t>
            </w:r>
          </w:p>
        </w:tc>
      </w:tr>
      <w:tr w:rsidR="000354B5" w:rsidRPr="006472AF" w14:paraId="51209863" w14:textId="77777777" w:rsidTr="00133070">
        <w:tc>
          <w:tcPr>
            <w:tcW w:w="14709" w:type="dxa"/>
            <w:gridSpan w:val="7"/>
            <w:shd w:val="clear" w:color="auto" w:fill="auto"/>
          </w:tcPr>
          <w:p w14:paraId="4C2252A4" w14:textId="0A5E9561" w:rsidR="000354B5" w:rsidRDefault="000354B5" w:rsidP="00133070">
            <w:pPr>
              <w:pStyle w:val="NoSpacing"/>
              <w:rPr>
                <w:b/>
                <w:sz w:val="32"/>
                <w:szCs w:val="32"/>
              </w:rPr>
            </w:pPr>
            <w:r w:rsidRPr="005A7068">
              <w:rPr>
                <w:b/>
                <w:sz w:val="32"/>
                <w:szCs w:val="32"/>
              </w:rPr>
              <w:t xml:space="preserve">Unit title: </w:t>
            </w:r>
            <w:r w:rsidR="00760F99">
              <w:rPr>
                <w:b/>
                <w:sz w:val="32"/>
                <w:szCs w:val="32"/>
              </w:rPr>
              <w:t>Drama is Serious Fun!</w:t>
            </w:r>
          </w:p>
          <w:p w14:paraId="5BC935C4" w14:textId="3B821A80" w:rsidR="000354B5" w:rsidRPr="006472AF" w:rsidRDefault="000354B5" w:rsidP="00760F99">
            <w:pPr>
              <w:pStyle w:val="NoSpacing"/>
            </w:pPr>
            <w:r w:rsidRPr="00C06CD9">
              <w:rPr>
                <w:b/>
              </w:rPr>
              <w:t>Why now?</w:t>
            </w:r>
            <w:r>
              <w:t xml:space="preserve">  </w:t>
            </w:r>
            <w:r w:rsidR="00760F99">
              <w:t xml:space="preserve">Students arrive at Langdon Park with different levels of Drama experience and expertise. This unit aims to build on previous knowledge whilst teaching new skills such as the basic performance skills (no backs, no </w:t>
            </w:r>
            <w:proofErr w:type="spellStart"/>
            <w:r w:rsidR="00760F99">
              <w:t>corpsing</w:t>
            </w:r>
            <w:proofErr w:type="spellEnd"/>
            <w:r w:rsidR="00760F99">
              <w:t>, speak loud &amp; clearly), students are also introduced to both improvised and scripted Drama. By the end of the unit students will be introduced in the skills used to make, perform and respond in Drama lessons. There is also an emphasis on transferable skills such as team work and confidence, which help aid a smooth transition from Primary to Secondary school.</w:t>
            </w:r>
          </w:p>
        </w:tc>
      </w:tr>
      <w:tr w:rsidR="000354B5" w14:paraId="4F042374" w14:textId="77777777" w:rsidTr="00133070">
        <w:tc>
          <w:tcPr>
            <w:tcW w:w="2943" w:type="dxa"/>
            <w:shd w:val="clear" w:color="auto" w:fill="auto"/>
          </w:tcPr>
          <w:p w14:paraId="6A82F54A" w14:textId="77777777" w:rsidR="000354B5" w:rsidRDefault="000354B5" w:rsidP="00133070">
            <w:pPr>
              <w:pStyle w:val="NoSpacing"/>
              <w:rPr>
                <w:b/>
              </w:rPr>
            </w:pPr>
            <w:r w:rsidRPr="00E47B01">
              <w:rPr>
                <w:b/>
              </w:rPr>
              <w:t>Knowledge</w:t>
            </w:r>
          </w:p>
          <w:p w14:paraId="3D09043B" w14:textId="77777777" w:rsidR="000354B5" w:rsidRPr="00E47B01" w:rsidRDefault="000354B5" w:rsidP="00133070">
            <w:pPr>
              <w:pStyle w:val="NoSpacing"/>
              <w:rPr>
                <w:b/>
              </w:rPr>
            </w:pPr>
            <w:r>
              <w:t>Students will know about…</w:t>
            </w:r>
          </w:p>
        </w:tc>
        <w:tc>
          <w:tcPr>
            <w:tcW w:w="2552" w:type="dxa"/>
            <w:shd w:val="clear" w:color="auto" w:fill="auto"/>
          </w:tcPr>
          <w:p w14:paraId="1DF417F0" w14:textId="77777777" w:rsidR="000354B5" w:rsidRPr="00E47B01" w:rsidRDefault="000354B5" w:rsidP="00133070">
            <w:pPr>
              <w:pStyle w:val="NoSpacing"/>
              <w:rPr>
                <w:b/>
              </w:rPr>
            </w:pPr>
            <w:r w:rsidRPr="00E47B01">
              <w:rPr>
                <w:b/>
              </w:rPr>
              <w:t>Application</w:t>
            </w:r>
            <w:r>
              <w:rPr>
                <w:b/>
              </w:rPr>
              <w:t>/Skills</w:t>
            </w:r>
          </w:p>
          <w:p w14:paraId="3847171F" w14:textId="77777777" w:rsidR="000354B5" w:rsidRDefault="000354B5" w:rsidP="00133070">
            <w:pPr>
              <w:pStyle w:val="NoSpacing"/>
            </w:pPr>
            <w:r>
              <w:t>Students will be able to…</w:t>
            </w:r>
          </w:p>
        </w:tc>
        <w:tc>
          <w:tcPr>
            <w:tcW w:w="1417" w:type="dxa"/>
            <w:shd w:val="clear" w:color="auto" w:fill="auto"/>
          </w:tcPr>
          <w:p w14:paraId="1A4EDE4D" w14:textId="77777777" w:rsidR="000354B5" w:rsidRDefault="000354B5" w:rsidP="00133070">
            <w:pPr>
              <w:pStyle w:val="NoSpacing"/>
            </w:pPr>
            <w:r>
              <w:t>Vocabulary</w:t>
            </w:r>
          </w:p>
          <w:p w14:paraId="5EB2E1E0" w14:textId="77777777" w:rsidR="000354B5" w:rsidRPr="00E47B01" w:rsidRDefault="000354B5" w:rsidP="00133070">
            <w:pPr>
              <w:pStyle w:val="NoSpacing"/>
              <w:rPr>
                <w:i/>
              </w:rPr>
            </w:pPr>
            <w:r w:rsidRPr="00E47B01">
              <w:rPr>
                <w:i/>
              </w:rPr>
              <w:t>(Tier 2 and 3)</w:t>
            </w:r>
          </w:p>
        </w:tc>
        <w:tc>
          <w:tcPr>
            <w:tcW w:w="2127" w:type="dxa"/>
            <w:shd w:val="clear" w:color="auto" w:fill="auto"/>
          </w:tcPr>
          <w:p w14:paraId="0F90272B" w14:textId="77777777" w:rsidR="000354B5" w:rsidRDefault="000354B5" w:rsidP="00133070">
            <w:pPr>
              <w:pStyle w:val="NoSpacing"/>
            </w:pPr>
            <w:r>
              <w:t>Home Learning</w:t>
            </w:r>
          </w:p>
        </w:tc>
        <w:tc>
          <w:tcPr>
            <w:tcW w:w="1559" w:type="dxa"/>
            <w:shd w:val="clear" w:color="auto" w:fill="auto"/>
          </w:tcPr>
          <w:p w14:paraId="283B5977" w14:textId="77777777" w:rsidR="000354B5" w:rsidRDefault="000354B5" w:rsidP="00133070">
            <w:pPr>
              <w:pStyle w:val="NoSpacing"/>
            </w:pPr>
            <w:r>
              <w:t>Assessment</w:t>
            </w:r>
          </w:p>
        </w:tc>
        <w:tc>
          <w:tcPr>
            <w:tcW w:w="1843" w:type="dxa"/>
            <w:shd w:val="clear" w:color="auto" w:fill="auto"/>
          </w:tcPr>
          <w:p w14:paraId="07E3F098" w14:textId="77777777" w:rsidR="000354B5" w:rsidRDefault="000354B5" w:rsidP="00133070">
            <w:pPr>
              <w:pStyle w:val="NoSpacing"/>
            </w:pPr>
            <w:r>
              <w:t>Extra Resources</w:t>
            </w:r>
          </w:p>
          <w:p w14:paraId="4E9199D6" w14:textId="77777777" w:rsidR="000354B5" w:rsidRDefault="000354B5" w:rsidP="00133070">
            <w:pPr>
              <w:pStyle w:val="NoSpacing"/>
            </w:pPr>
            <w:r>
              <w:t>Extended Reading</w:t>
            </w:r>
          </w:p>
        </w:tc>
        <w:tc>
          <w:tcPr>
            <w:tcW w:w="2268" w:type="dxa"/>
            <w:shd w:val="clear" w:color="auto" w:fill="auto"/>
          </w:tcPr>
          <w:p w14:paraId="42C77D6F" w14:textId="77777777" w:rsidR="000354B5" w:rsidRDefault="000354B5" w:rsidP="00133070">
            <w:pPr>
              <w:pStyle w:val="NoSpacing"/>
            </w:pPr>
            <w:r>
              <w:t>Cultural Capital</w:t>
            </w:r>
          </w:p>
          <w:p w14:paraId="7A23EB3B" w14:textId="77777777" w:rsidR="000354B5" w:rsidRDefault="000354B5" w:rsidP="00133070">
            <w:pPr>
              <w:pStyle w:val="NoSpacing"/>
            </w:pPr>
          </w:p>
        </w:tc>
      </w:tr>
      <w:tr w:rsidR="000354B5" w14:paraId="16F9AA10" w14:textId="77777777" w:rsidTr="00133070">
        <w:trPr>
          <w:trHeight w:val="3010"/>
        </w:trPr>
        <w:tc>
          <w:tcPr>
            <w:tcW w:w="2943" w:type="dxa"/>
            <w:shd w:val="clear" w:color="auto" w:fill="auto"/>
          </w:tcPr>
          <w:p w14:paraId="60E3C8B1" w14:textId="3280D000" w:rsidR="000354B5" w:rsidRDefault="00760F99" w:rsidP="00133070">
            <w:pPr>
              <w:pStyle w:val="NoSpacing"/>
            </w:pPr>
            <w:r>
              <w:t>The Drama Studio Rules and the C words as transferable skills.</w:t>
            </w:r>
          </w:p>
          <w:p w14:paraId="4A812C50" w14:textId="77777777" w:rsidR="00760F99" w:rsidRDefault="00760F99" w:rsidP="00133070">
            <w:pPr>
              <w:pStyle w:val="NoSpacing"/>
            </w:pPr>
          </w:p>
          <w:p w14:paraId="546AB362" w14:textId="25E96600" w:rsidR="00760F99" w:rsidRDefault="00760F99" w:rsidP="00133070">
            <w:pPr>
              <w:pStyle w:val="NoSpacing"/>
            </w:pPr>
            <w:r>
              <w:t xml:space="preserve">The 3 basic performance skills (no backs, no </w:t>
            </w:r>
            <w:proofErr w:type="spellStart"/>
            <w:r>
              <w:t>corpsing</w:t>
            </w:r>
            <w:proofErr w:type="spellEnd"/>
            <w:r>
              <w:t xml:space="preserve"> and speak loud and clearly).</w:t>
            </w:r>
          </w:p>
          <w:p w14:paraId="1C708A00" w14:textId="77777777" w:rsidR="00760F99" w:rsidRDefault="00760F99" w:rsidP="00133070">
            <w:pPr>
              <w:pStyle w:val="NoSpacing"/>
            </w:pPr>
          </w:p>
          <w:p w14:paraId="05FACE4B" w14:textId="0D9C42F8" w:rsidR="00760F99" w:rsidRDefault="00760F99" w:rsidP="00133070">
            <w:pPr>
              <w:pStyle w:val="NoSpacing"/>
            </w:pPr>
            <w:r>
              <w:t>The named areas of a stage, and how best to use space when performing.</w:t>
            </w:r>
          </w:p>
          <w:p w14:paraId="3EC1E5A9" w14:textId="77777777" w:rsidR="00760F99" w:rsidRDefault="00760F99" w:rsidP="00133070">
            <w:pPr>
              <w:pStyle w:val="NoSpacing"/>
            </w:pPr>
          </w:p>
          <w:p w14:paraId="2F944C67" w14:textId="34204B5A" w:rsidR="00760F99" w:rsidRDefault="00760F99" w:rsidP="00133070">
            <w:pPr>
              <w:pStyle w:val="NoSpacing"/>
            </w:pPr>
            <w:r>
              <w:t>The 3 main ingredients for creating interesting Drama (People, Place &amp; Problem).</w:t>
            </w:r>
          </w:p>
          <w:p w14:paraId="35C25758" w14:textId="77777777" w:rsidR="00760F99" w:rsidRDefault="00760F99" w:rsidP="00133070">
            <w:pPr>
              <w:pStyle w:val="NoSpacing"/>
            </w:pPr>
          </w:p>
          <w:p w14:paraId="7B9DA8A0" w14:textId="707E30BA" w:rsidR="00760F99" w:rsidRDefault="00760F99" w:rsidP="00133070">
            <w:pPr>
              <w:pStyle w:val="NoSpacing"/>
            </w:pPr>
            <w:r>
              <w:t>How best to respond in Drama and give feedback to others.</w:t>
            </w:r>
          </w:p>
          <w:p w14:paraId="01C8C0E2" w14:textId="77777777" w:rsidR="00760F99" w:rsidRDefault="00760F99" w:rsidP="00133070">
            <w:pPr>
              <w:pStyle w:val="NoSpacing"/>
            </w:pPr>
          </w:p>
          <w:p w14:paraId="5798D578" w14:textId="67182FA9" w:rsidR="00760F99" w:rsidRDefault="00760F99" w:rsidP="00133070">
            <w:pPr>
              <w:pStyle w:val="NoSpacing"/>
            </w:pPr>
          </w:p>
        </w:tc>
        <w:tc>
          <w:tcPr>
            <w:tcW w:w="2552" w:type="dxa"/>
            <w:shd w:val="clear" w:color="auto" w:fill="auto"/>
          </w:tcPr>
          <w:p w14:paraId="1697F5CA" w14:textId="34571BD2" w:rsidR="000354B5" w:rsidRDefault="00C06CD9" w:rsidP="00133070">
            <w:pPr>
              <w:pStyle w:val="NoSpacing"/>
            </w:pPr>
            <w:r>
              <w:rPr>
                <w:b/>
              </w:rPr>
              <w:t>Create</w:t>
            </w:r>
            <w:r w:rsidR="00760F99">
              <w:t xml:space="preserve"> Drama (improvise and scripted)</w:t>
            </w:r>
            <w:r w:rsidR="0018659B">
              <w:t>.</w:t>
            </w:r>
          </w:p>
          <w:p w14:paraId="137C7694" w14:textId="77777777" w:rsidR="00760F99" w:rsidRDefault="00760F99" w:rsidP="00133070">
            <w:pPr>
              <w:pStyle w:val="NoSpacing"/>
            </w:pPr>
          </w:p>
          <w:p w14:paraId="5127A56F" w14:textId="25BF1DBD" w:rsidR="0018659B" w:rsidRDefault="00760F99" w:rsidP="00133070">
            <w:pPr>
              <w:pStyle w:val="NoSpacing"/>
            </w:pPr>
            <w:r w:rsidRPr="0018659B">
              <w:rPr>
                <w:b/>
              </w:rPr>
              <w:t>Perform</w:t>
            </w:r>
            <w:r>
              <w:t xml:space="preserve"> Drama (</w:t>
            </w:r>
            <w:r w:rsidR="0018659B">
              <w:t>Basic Performance skills, Vocal skills, Physical skills, Space).</w:t>
            </w:r>
          </w:p>
          <w:p w14:paraId="7089AEBE" w14:textId="77777777" w:rsidR="0018659B" w:rsidRDefault="0018659B" w:rsidP="00133070">
            <w:pPr>
              <w:pStyle w:val="NoSpacing"/>
            </w:pPr>
          </w:p>
          <w:p w14:paraId="6D0199CB" w14:textId="2FE49D73" w:rsidR="0018659B" w:rsidRDefault="0018659B" w:rsidP="00133070">
            <w:pPr>
              <w:pStyle w:val="NoSpacing"/>
            </w:pPr>
            <w:r w:rsidRPr="0018659B">
              <w:rPr>
                <w:b/>
              </w:rPr>
              <w:t>Respond</w:t>
            </w:r>
            <w:r>
              <w:t xml:space="preserve"> to Drama (WWW &amp; EBI, peer and self-reflection, respect &amp; appreciation).</w:t>
            </w:r>
          </w:p>
          <w:p w14:paraId="70790AAF" w14:textId="77777777" w:rsidR="0018659B" w:rsidRDefault="0018659B" w:rsidP="00133070">
            <w:pPr>
              <w:pStyle w:val="NoSpacing"/>
            </w:pPr>
          </w:p>
          <w:p w14:paraId="6E9BC778" w14:textId="69403603" w:rsidR="0018659B" w:rsidRDefault="0018659B" w:rsidP="00133070">
            <w:pPr>
              <w:pStyle w:val="NoSpacing"/>
            </w:pPr>
            <w:r>
              <w:t xml:space="preserve">Work together using communication skills, control, cooperation and confidence. </w:t>
            </w:r>
          </w:p>
          <w:p w14:paraId="562386A1" w14:textId="77777777" w:rsidR="0018659B" w:rsidRDefault="0018659B" w:rsidP="00133070">
            <w:pPr>
              <w:pStyle w:val="NoSpacing"/>
            </w:pPr>
          </w:p>
          <w:p w14:paraId="198C5C2A" w14:textId="397ED113" w:rsidR="0018659B" w:rsidRDefault="0018659B" w:rsidP="00133070">
            <w:pPr>
              <w:pStyle w:val="NoSpacing"/>
            </w:pPr>
          </w:p>
        </w:tc>
        <w:tc>
          <w:tcPr>
            <w:tcW w:w="1417" w:type="dxa"/>
            <w:shd w:val="clear" w:color="auto" w:fill="auto"/>
          </w:tcPr>
          <w:p w14:paraId="3ACDB018" w14:textId="19A99C31" w:rsidR="000354B5" w:rsidRDefault="0018659B" w:rsidP="00133070">
            <w:pPr>
              <w:pStyle w:val="NoSpacing"/>
              <w:rPr>
                <w:sz w:val="20"/>
              </w:rPr>
            </w:pPr>
            <w:r w:rsidRPr="0018659B">
              <w:rPr>
                <w:sz w:val="20"/>
              </w:rPr>
              <w:t>Improvisation</w:t>
            </w:r>
          </w:p>
          <w:p w14:paraId="1AD9D27B" w14:textId="77777777" w:rsidR="0018659B" w:rsidRDefault="0018659B" w:rsidP="00133070">
            <w:pPr>
              <w:pStyle w:val="NoSpacing"/>
              <w:rPr>
                <w:sz w:val="20"/>
              </w:rPr>
            </w:pPr>
          </w:p>
          <w:p w14:paraId="316C6FE3" w14:textId="77777777" w:rsidR="0018659B" w:rsidRDefault="0018659B" w:rsidP="00133070">
            <w:pPr>
              <w:pStyle w:val="NoSpacing"/>
              <w:rPr>
                <w:sz w:val="20"/>
              </w:rPr>
            </w:pPr>
            <w:r>
              <w:rPr>
                <w:sz w:val="20"/>
              </w:rPr>
              <w:t>Rehearsal</w:t>
            </w:r>
          </w:p>
          <w:p w14:paraId="280D3427" w14:textId="77777777" w:rsidR="0018659B" w:rsidRDefault="0018659B" w:rsidP="00133070">
            <w:pPr>
              <w:pStyle w:val="NoSpacing"/>
              <w:rPr>
                <w:sz w:val="20"/>
              </w:rPr>
            </w:pPr>
          </w:p>
          <w:p w14:paraId="333C90F6" w14:textId="359209D4" w:rsidR="0018659B" w:rsidRDefault="0018659B" w:rsidP="00133070">
            <w:pPr>
              <w:pStyle w:val="NoSpacing"/>
              <w:rPr>
                <w:sz w:val="18"/>
              </w:rPr>
            </w:pPr>
            <w:r w:rsidRPr="0018659B">
              <w:rPr>
                <w:sz w:val="18"/>
              </w:rPr>
              <w:t>Professionalism</w:t>
            </w:r>
          </w:p>
          <w:p w14:paraId="3E8FE966" w14:textId="77777777" w:rsidR="0018659B" w:rsidRDefault="0018659B" w:rsidP="00133070">
            <w:pPr>
              <w:pStyle w:val="NoSpacing"/>
              <w:rPr>
                <w:sz w:val="18"/>
              </w:rPr>
            </w:pPr>
          </w:p>
          <w:p w14:paraId="31F9D0A9" w14:textId="77777777" w:rsidR="0018659B" w:rsidRDefault="0018659B" w:rsidP="00133070">
            <w:pPr>
              <w:pStyle w:val="NoSpacing"/>
              <w:rPr>
                <w:sz w:val="18"/>
              </w:rPr>
            </w:pPr>
            <w:r>
              <w:rPr>
                <w:sz w:val="18"/>
              </w:rPr>
              <w:t>Performance</w:t>
            </w:r>
          </w:p>
          <w:p w14:paraId="57C6BEBB" w14:textId="77777777" w:rsidR="0018659B" w:rsidRDefault="0018659B" w:rsidP="00133070">
            <w:pPr>
              <w:pStyle w:val="NoSpacing"/>
              <w:rPr>
                <w:sz w:val="18"/>
              </w:rPr>
            </w:pPr>
          </w:p>
          <w:p w14:paraId="73D8B2CB" w14:textId="77777777" w:rsidR="0018659B" w:rsidRDefault="0018659B" w:rsidP="00133070">
            <w:pPr>
              <w:pStyle w:val="NoSpacing"/>
              <w:rPr>
                <w:sz w:val="18"/>
              </w:rPr>
            </w:pPr>
            <w:r>
              <w:rPr>
                <w:sz w:val="18"/>
              </w:rPr>
              <w:t>Status</w:t>
            </w:r>
          </w:p>
          <w:p w14:paraId="5B5011E7" w14:textId="77777777" w:rsidR="0018659B" w:rsidRDefault="0018659B" w:rsidP="00133070">
            <w:pPr>
              <w:pStyle w:val="NoSpacing"/>
              <w:rPr>
                <w:sz w:val="18"/>
              </w:rPr>
            </w:pPr>
          </w:p>
          <w:p w14:paraId="045FB972" w14:textId="77777777" w:rsidR="0018659B" w:rsidRDefault="0018659B" w:rsidP="00133070">
            <w:pPr>
              <w:pStyle w:val="NoSpacing"/>
              <w:rPr>
                <w:sz w:val="18"/>
              </w:rPr>
            </w:pPr>
            <w:r>
              <w:rPr>
                <w:sz w:val="18"/>
              </w:rPr>
              <w:t>Co-operation</w:t>
            </w:r>
          </w:p>
          <w:p w14:paraId="675A0049" w14:textId="77777777" w:rsidR="0018659B" w:rsidRDefault="0018659B" w:rsidP="00133070">
            <w:pPr>
              <w:pStyle w:val="NoSpacing"/>
              <w:rPr>
                <w:sz w:val="18"/>
              </w:rPr>
            </w:pPr>
          </w:p>
          <w:p w14:paraId="15D77565" w14:textId="77777777" w:rsidR="0018659B" w:rsidRDefault="0018659B" w:rsidP="00133070">
            <w:pPr>
              <w:pStyle w:val="NoSpacing"/>
              <w:rPr>
                <w:sz w:val="18"/>
              </w:rPr>
            </w:pPr>
            <w:r>
              <w:rPr>
                <w:sz w:val="18"/>
              </w:rPr>
              <w:t>Communication</w:t>
            </w:r>
          </w:p>
          <w:p w14:paraId="05BF578C" w14:textId="77777777" w:rsidR="0018659B" w:rsidRDefault="0018659B" w:rsidP="00133070">
            <w:pPr>
              <w:pStyle w:val="NoSpacing"/>
              <w:rPr>
                <w:sz w:val="18"/>
              </w:rPr>
            </w:pPr>
          </w:p>
          <w:p w14:paraId="27524663" w14:textId="77777777" w:rsidR="0018659B" w:rsidRDefault="0018659B" w:rsidP="00133070">
            <w:pPr>
              <w:pStyle w:val="NoSpacing"/>
              <w:rPr>
                <w:sz w:val="18"/>
              </w:rPr>
            </w:pPr>
            <w:r>
              <w:rPr>
                <w:sz w:val="18"/>
              </w:rPr>
              <w:t>Role Play</w:t>
            </w:r>
          </w:p>
          <w:p w14:paraId="1A6314E4" w14:textId="77777777" w:rsidR="0018659B" w:rsidRDefault="0018659B" w:rsidP="00133070">
            <w:pPr>
              <w:pStyle w:val="NoSpacing"/>
              <w:rPr>
                <w:sz w:val="18"/>
              </w:rPr>
            </w:pPr>
          </w:p>
          <w:p w14:paraId="3A9ED0A1" w14:textId="79B6787E" w:rsidR="0018659B" w:rsidRDefault="0018659B" w:rsidP="00133070">
            <w:pPr>
              <w:pStyle w:val="NoSpacing"/>
              <w:rPr>
                <w:sz w:val="16"/>
              </w:rPr>
            </w:pPr>
            <w:r w:rsidRPr="0018659B">
              <w:rPr>
                <w:sz w:val="16"/>
              </w:rPr>
              <w:t>Characterisation</w:t>
            </w:r>
          </w:p>
          <w:p w14:paraId="683968F7" w14:textId="77777777" w:rsidR="0018659B" w:rsidRPr="0018659B" w:rsidRDefault="0018659B" w:rsidP="00133070">
            <w:pPr>
              <w:pStyle w:val="NoSpacing"/>
              <w:rPr>
                <w:sz w:val="16"/>
              </w:rPr>
            </w:pPr>
          </w:p>
          <w:p w14:paraId="7FE94A34" w14:textId="77777777" w:rsidR="000354B5" w:rsidRDefault="000354B5" w:rsidP="00133070">
            <w:pPr>
              <w:pStyle w:val="NoSpacing"/>
            </w:pPr>
          </w:p>
          <w:p w14:paraId="33D0A3A7" w14:textId="77777777" w:rsidR="000354B5" w:rsidRDefault="000354B5" w:rsidP="00133070">
            <w:pPr>
              <w:pStyle w:val="NoSpacing"/>
            </w:pPr>
          </w:p>
          <w:p w14:paraId="662313C2" w14:textId="77777777" w:rsidR="000354B5" w:rsidRDefault="000354B5" w:rsidP="00133070">
            <w:pPr>
              <w:pStyle w:val="NoSpacing"/>
            </w:pPr>
          </w:p>
          <w:p w14:paraId="6AB9EE5D" w14:textId="77777777" w:rsidR="000354B5" w:rsidRDefault="000354B5" w:rsidP="00133070">
            <w:pPr>
              <w:pStyle w:val="NoSpacing"/>
            </w:pPr>
          </w:p>
        </w:tc>
        <w:tc>
          <w:tcPr>
            <w:tcW w:w="2127" w:type="dxa"/>
            <w:shd w:val="clear" w:color="auto" w:fill="auto"/>
          </w:tcPr>
          <w:p w14:paraId="573A5A75" w14:textId="5B0B10B1" w:rsidR="00836587" w:rsidRDefault="00836587" w:rsidP="00133070">
            <w:pPr>
              <w:pStyle w:val="NoSpacing"/>
            </w:pPr>
            <w:r>
              <w:t>Variety of the following:</w:t>
            </w:r>
          </w:p>
          <w:p w14:paraId="32002277" w14:textId="77777777" w:rsidR="00836587" w:rsidRDefault="00836587" w:rsidP="00133070">
            <w:pPr>
              <w:pStyle w:val="NoSpacing"/>
            </w:pPr>
          </w:p>
          <w:p w14:paraId="3745BD88" w14:textId="18F6F656" w:rsidR="000354B5" w:rsidRDefault="00836587" w:rsidP="00133070">
            <w:pPr>
              <w:pStyle w:val="NoSpacing"/>
            </w:pPr>
            <w:r>
              <w:t xml:space="preserve">Meet </w:t>
            </w:r>
            <w:r w:rsidR="0018659B">
              <w:t>&amp; rehearse with their group outside of lesson, ready for performance.</w:t>
            </w:r>
          </w:p>
          <w:p w14:paraId="4FEDC658" w14:textId="6FDF03F2" w:rsidR="00C06CD9" w:rsidRDefault="00C06CD9" w:rsidP="00133070">
            <w:pPr>
              <w:pStyle w:val="NoSpacing"/>
            </w:pPr>
          </w:p>
          <w:p w14:paraId="5B4B3FAC" w14:textId="70BF35A1" w:rsidR="00C06CD9" w:rsidRDefault="00C06CD9" w:rsidP="00133070">
            <w:pPr>
              <w:pStyle w:val="NoSpacing"/>
            </w:pPr>
            <w:r>
              <w:t>Completion of Unit Overview</w:t>
            </w:r>
            <w:r w:rsidR="00EB38A4">
              <w:t>, self-evaluation</w:t>
            </w:r>
            <w:r>
              <w:t xml:space="preserve"> &amp; </w:t>
            </w:r>
            <w:r w:rsidR="00836587">
              <w:t>Knowledge te</w:t>
            </w:r>
            <w:r w:rsidR="00245151">
              <w:t>s</w:t>
            </w:r>
            <w:bookmarkStart w:id="0" w:name="_GoBack"/>
            <w:bookmarkEnd w:id="0"/>
            <w:r w:rsidR="00836587">
              <w:t>t</w:t>
            </w:r>
          </w:p>
          <w:p w14:paraId="3B7472AC" w14:textId="7D60047A" w:rsidR="00C06CD9" w:rsidRDefault="00C06CD9" w:rsidP="00133070">
            <w:pPr>
              <w:pStyle w:val="NoSpacing"/>
            </w:pPr>
          </w:p>
          <w:p w14:paraId="6798ADE9" w14:textId="2D7E1D88" w:rsidR="00C06CD9" w:rsidRDefault="00C06CD9" w:rsidP="00133070">
            <w:pPr>
              <w:pStyle w:val="NoSpacing"/>
            </w:pPr>
            <w:r>
              <w:t>Use of Google Classroom.</w:t>
            </w:r>
          </w:p>
          <w:p w14:paraId="0984DEC7" w14:textId="77777777" w:rsidR="000354B5" w:rsidRDefault="000354B5" w:rsidP="00133070">
            <w:pPr>
              <w:pStyle w:val="NoSpacing"/>
            </w:pPr>
          </w:p>
          <w:p w14:paraId="49634000" w14:textId="77777777" w:rsidR="000354B5" w:rsidRDefault="000354B5" w:rsidP="00133070">
            <w:pPr>
              <w:pStyle w:val="NoSpacing"/>
            </w:pPr>
          </w:p>
        </w:tc>
        <w:tc>
          <w:tcPr>
            <w:tcW w:w="1559" w:type="dxa"/>
            <w:shd w:val="clear" w:color="auto" w:fill="auto"/>
          </w:tcPr>
          <w:p w14:paraId="22FB40C8" w14:textId="77777777" w:rsidR="0018659B" w:rsidRDefault="0018659B" w:rsidP="00133070">
            <w:pPr>
              <w:pStyle w:val="NoSpacing"/>
            </w:pPr>
            <w:r>
              <w:t>Baseline Assessment</w:t>
            </w:r>
          </w:p>
          <w:p w14:paraId="069F4F02" w14:textId="77777777" w:rsidR="0018659B" w:rsidRDefault="0018659B" w:rsidP="00133070">
            <w:pPr>
              <w:pStyle w:val="NoSpacing"/>
            </w:pPr>
          </w:p>
          <w:p w14:paraId="28A6AE1C" w14:textId="77777777" w:rsidR="0018659B" w:rsidRDefault="0018659B" w:rsidP="00133070">
            <w:pPr>
              <w:pStyle w:val="NoSpacing"/>
            </w:pPr>
            <w:r>
              <w:t>Regular monitoring of transferable skills in rehearsal.</w:t>
            </w:r>
          </w:p>
          <w:p w14:paraId="401C8423" w14:textId="77777777" w:rsidR="0018659B" w:rsidRDefault="0018659B" w:rsidP="00133070">
            <w:pPr>
              <w:pStyle w:val="NoSpacing"/>
            </w:pPr>
          </w:p>
          <w:p w14:paraId="21060DD4" w14:textId="77777777" w:rsidR="0018659B" w:rsidRDefault="0018659B" w:rsidP="00133070">
            <w:pPr>
              <w:pStyle w:val="NoSpacing"/>
            </w:pPr>
            <w:r>
              <w:t>Regular monitoring of performance skills (students perform every lesson).</w:t>
            </w:r>
          </w:p>
          <w:p w14:paraId="31784682" w14:textId="77777777" w:rsidR="0018659B" w:rsidRDefault="0018659B" w:rsidP="00133070">
            <w:pPr>
              <w:pStyle w:val="NoSpacing"/>
            </w:pPr>
          </w:p>
          <w:p w14:paraId="64E0C247" w14:textId="739B4323" w:rsidR="000354B5" w:rsidRDefault="0018659B" w:rsidP="00133070">
            <w:pPr>
              <w:pStyle w:val="NoSpacing"/>
            </w:pPr>
            <w:r>
              <w:t>End of unit performance &amp; responding assessment.</w:t>
            </w:r>
          </w:p>
        </w:tc>
        <w:tc>
          <w:tcPr>
            <w:tcW w:w="1843" w:type="dxa"/>
            <w:shd w:val="clear" w:color="auto" w:fill="auto"/>
          </w:tcPr>
          <w:p w14:paraId="3E6EAB17" w14:textId="77777777" w:rsidR="000354B5" w:rsidRDefault="0018659B" w:rsidP="00133070">
            <w:pPr>
              <w:pStyle w:val="NoSpacing"/>
            </w:pPr>
            <w:r>
              <w:t>BBC bitesize Drama pages.</w:t>
            </w:r>
          </w:p>
          <w:p w14:paraId="266B8822" w14:textId="77777777" w:rsidR="0018659B" w:rsidRDefault="0018659B" w:rsidP="00133070">
            <w:pPr>
              <w:pStyle w:val="NoSpacing"/>
            </w:pPr>
          </w:p>
          <w:p w14:paraId="36A676F6" w14:textId="77777777" w:rsidR="000354B5" w:rsidRPr="006472AF" w:rsidRDefault="000354B5" w:rsidP="00133070">
            <w:pPr>
              <w:pStyle w:val="NoSpacing"/>
              <w:rPr>
                <w:i/>
              </w:rPr>
            </w:pPr>
          </w:p>
          <w:p w14:paraId="2B2E85FF" w14:textId="77777777" w:rsidR="000354B5" w:rsidRDefault="000354B5" w:rsidP="00133070">
            <w:pPr>
              <w:pStyle w:val="NoSpacing"/>
            </w:pPr>
          </w:p>
        </w:tc>
        <w:tc>
          <w:tcPr>
            <w:tcW w:w="2268" w:type="dxa"/>
            <w:shd w:val="clear" w:color="auto" w:fill="auto"/>
          </w:tcPr>
          <w:p w14:paraId="6BD2F479" w14:textId="48A4D47E" w:rsidR="0018659B" w:rsidRDefault="0018659B" w:rsidP="00133070">
            <w:pPr>
              <w:pStyle w:val="NoSpacing"/>
            </w:pPr>
            <w:r>
              <w:t>Spotlight Centre &amp; The Half Moon Theatre – students are encouraged to sign up to clubs and youth theatres at these local organisations that the school is partnered with.</w:t>
            </w:r>
          </w:p>
        </w:tc>
      </w:tr>
    </w:tbl>
    <w:p w14:paraId="7C151D00" w14:textId="3A359715" w:rsidR="00AF6C54" w:rsidRDefault="00245151"/>
    <w:sectPr w:rsidR="00AF6C54" w:rsidSect="000354B5">
      <w:pgSz w:w="16840" w:h="1190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4B5"/>
    <w:rsid w:val="000354B5"/>
    <w:rsid w:val="00170595"/>
    <w:rsid w:val="0018659B"/>
    <w:rsid w:val="00245151"/>
    <w:rsid w:val="006D3989"/>
    <w:rsid w:val="00760F99"/>
    <w:rsid w:val="007D7D7E"/>
    <w:rsid w:val="007E2578"/>
    <w:rsid w:val="007F1EC2"/>
    <w:rsid w:val="00836587"/>
    <w:rsid w:val="00912B88"/>
    <w:rsid w:val="009C39D0"/>
    <w:rsid w:val="009C6686"/>
    <w:rsid w:val="00A46347"/>
    <w:rsid w:val="00AF5436"/>
    <w:rsid w:val="00C06CD9"/>
    <w:rsid w:val="00D05FEB"/>
    <w:rsid w:val="00EB38A4"/>
    <w:rsid w:val="00EF3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9DAC9"/>
  <w14:defaultImageDpi w14:val="32767"/>
  <w15:docId w15:val="{03CAB891-1F93-43ED-9735-B7317A366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54B5"/>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54B5"/>
    <w:rPr>
      <w:rFonts w:ascii="Calibri" w:eastAsia="Calibri" w:hAnsi="Calibri" w:cs="Times New Roman"/>
      <w:sz w:val="22"/>
      <w:szCs w:val="22"/>
    </w:rPr>
  </w:style>
  <w:style w:type="character" w:styleId="Hyperlink">
    <w:name w:val="Hyperlink"/>
    <w:uiPriority w:val="99"/>
    <w:unhideWhenUsed/>
    <w:rsid w:val="000354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Anurag Jain</dc:creator>
  <cp:lastModifiedBy>Joanne Bird</cp:lastModifiedBy>
  <cp:revision>6</cp:revision>
  <dcterms:created xsi:type="dcterms:W3CDTF">2020-03-02T14:20:00Z</dcterms:created>
  <dcterms:modified xsi:type="dcterms:W3CDTF">2022-10-03T10:45:00Z</dcterms:modified>
</cp:coreProperties>
</file>